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7"/>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超市事业部门帘</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highlight w:val="none"/>
        </w:rPr>
        <w:t>0</w:t>
      </w:r>
      <w:r>
        <w:rPr>
          <w:rFonts w:hint="eastAsia" w:ascii="隶书" w:eastAsia="隶书"/>
          <w:sz w:val="36"/>
          <w:highlight w:val="none"/>
          <w:lang w:val="en-US" w:eastAsia="zh-CN"/>
        </w:rPr>
        <w:t>4</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2"/>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textAlignment w:val="baseline"/>
              <w:rPr>
                <w:rFonts w:hint="eastAsia" w:ascii="仿宋" w:hAnsi="仿宋" w:eastAsia="仿宋"/>
                <w:kern w:val="0"/>
                <w:sz w:val="28"/>
                <w:szCs w:val="28"/>
                <w:lang w:eastAsia="zh-CN"/>
              </w:rPr>
            </w:pPr>
            <w:r>
              <w:rPr>
                <w:rFonts w:hint="eastAsia" w:ascii="仿宋" w:hAnsi="仿宋" w:eastAsia="仿宋"/>
                <w:kern w:val="0"/>
                <w:sz w:val="28"/>
                <w:szCs w:val="28"/>
                <w:lang w:eastAsia="zh-CN"/>
              </w:rPr>
              <w:t>门帘采购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5000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18"/>
                <w:rFonts w:hint="default"/>
              </w:rPr>
            </w:pPr>
            <w:r>
              <w:rPr>
                <w:rFonts w:hint="eastAsia" w:ascii="仿宋" w:hAnsi="仿宋" w:eastAsia="仿宋" w:cs="仿宋"/>
                <w:color w:val="000000"/>
                <w:sz w:val="28"/>
                <w:szCs w:val="28"/>
              </w:rPr>
              <w:t>开户行</w:t>
            </w:r>
            <w:r>
              <w:rPr>
                <w:rStyle w:val="18"/>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lang w:val="en-US" w:eastAsia="zh-CN"/>
              </w:rPr>
              <w:t xml:space="preserve"> 5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10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18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bookmarkStart w:id="1" w:name="_GoBack"/>
            <w:bookmarkEnd w:id="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rPr>
            </w:pP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 w:hAnsi="仿宋" w:eastAsia="仿宋"/>
                <w:sz w:val="28"/>
                <w:szCs w:val="28"/>
              </w:rPr>
            </w:pP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规定格式和目录表顺序装订成一册正本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4.4中标方的投标保证金在中标方与招标方签订合同并提交履约保证金后无息退还。</w:t>
      </w:r>
    </w:p>
    <w:p>
      <w:pPr>
        <w:spacing w:line="360" w:lineRule="exact"/>
        <w:ind w:firstLine="480" w:firstLineChars="200"/>
        <w:rPr>
          <w:rFonts w:ascii="宋体"/>
          <w:sz w:val="24"/>
          <w:szCs w:val="24"/>
        </w:rPr>
      </w:pPr>
      <w:r>
        <w:rPr>
          <w:rFonts w:hint="eastAsia" w:ascii="宋体"/>
          <w:sz w:val="24"/>
          <w:szCs w:val="24"/>
        </w:rPr>
        <w:t>4.5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4.6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（3）中标方不按规定缴付中标服务费。</w:t>
      </w:r>
    </w:p>
    <w:p>
      <w:pPr>
        <w:spacing w:line="360" w:lineRule="exact"/>
        <w:ind w:firstLine="480" w:firstLineChars="200"/>
        <w:rPr>
          <w:rFonts w:ascii="宋体"/>
          <w:sz w:val="24"/>
          <w:szCs w:val="24"/>
        </w:rPr>
      </w:pPr>
      <w:r>
        <w:rPr>
          <w:rFonts w:hint="eastAsia" w:ascii="宋体"/>
          <w:sz w:val="24"/>
          <w:szCs w:val="24"/>
        </w:rPr>
        <w:t>（4）投标方修改或拒绝接受已确认的条款。</w:t>
      </w:r>
    </w:p>
    <w:p>
      <w:pPr>
        <w:spacing w:line="360" w:lineRule="exact"/>
        <w:ind w:firstLine="480" w:firstLineChars="200"/>
        <w:rPr>
          <w:rFonts w:ascii="宋体"/>
          <w:sz w:val="24"/>
          <w:szCs w:val="24"/>
        </w:rPr>
      </w:pPr>
      <w:r>
        <w:rPr>
          <w:rFonts w:hint="eastAsia" w:ascii="宋体"/>
          <w:sz w:val="24"/>
          <w:szCs w:val="24"/>
        </w:rPr>
        <w:t>（5）中标方未按中标通知书中规定的时间、地点与招标方签订合同</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（1）未按招标文件规定加盖投标单位法人章、法定代表人印鉴的；</w:t>
      </w:r>
    </w:p>
    <w:p>
      <w:pPr>
        <w:spacing w:line="360" w:lineRule="exact"/>
        <w:ind w:firstLine="520" w:firstLineChars="200"/>
        <w:outlineLvl w:val="0"/>
        <w:rPr>
          <w:spacing w:val="10"/>
          <w:sz w:val="24"/>
          <w:szCs w:val="24"/>
        </w:rPr>
      </w:pPr>
      <w:r>
        <w:rPr>
          <w:rFonts w:hint="eastAsia"/>
          <w:spacing w:val="10"/>
          <w:sz w:val="24"/>
          <w:szCs w:val="24"/>
        </w:rPr>
        <w:t>（2）无法定代表人出具的授权委托书的；</w:t>
      </w:r>
    </w:p>
    <w:p>
      <w:pPr>
        <w:spacing w:line="360" w:lineRule="exact"/>
        <w:ind w:firstLine="520" w:firstLineChars="200"/>
        <w:rPr>
          <w:spacing w:val="10"/>
          <w:sz w:val="24"/>
          <w:szCs w:val="24"/>
        </w:rPr>
      </w:pPr>
      <w:r>
        <w:rPr>
          <w:rFonts w:hint="eastAsia"/>
          <w:spacing w:val="10"/>
          <w:sz w:val="24"/>
          <w:szCs w:val="24"/>
        </w:rPr>
        <w:t>（3）内容不全或关键字迹模糊、无法辨认的；</w:t>
      </w:r>
    </w:p>
    <w:p>
      <w:pPr>
        <w:spacing w:line="360" w:lineRule="exact"/>
        <w:ind w:firstLine="520" w:firstLineChars="200"/>
        <w:rPr>
          <w:spacing w:val="10"/>
          <w:sz w:val="24"/>
          <w:szCs w:val="24"/>
        </w:rPr>
      </w:pPr>
      <w:r>
        <w:rPr>
          <w:rFonts w:hint="eastAsia"/>
          <w:spacing w:val="10"/>
          <w:sz w:val="24"/>
          <w:szCs w:val="24"/>
        </w:rPr>
        <w:t>（4）投标人递交两份或多份内容不同的投标文件，或在一份投标文件中对同一招标货物有两个或多个报价的；</w:t>
      </w:r>
    </w:p>
    <w:p>
      <w:pPr>
        <w:spacing w:line="360" w:lineRule="exact"/>
        <w:ind w:firstLine="520" w:firstLineChars="200"/>
        <w:rPr>
          <w:spacing w:val="10"/>
          <w:sz w:val="24"/>
          <w:szCs w:val="24"/>
        </w:rPr>
      </w:pPr>
      <w:r>
        <w:rPr>
          <w:rFonts w:hint="eastAsia"/>
          <w:spacing w:val="10"/>
          <w:sz w:val="24"/>
          <w:szCs w:val="24"/>
        </w:rPr>
        <w:t>（5）投标人名称或组织机构与报名时不一致且未提供有效证明的；</w:t>
      </w:r>
    </w:p>
    <w:p>
      <w:pPr>
        <w:spacing w:line="360" w:lineRule="exact"/>
        <w:ind w:firstLine="260" w:firstLineChars="100"/>
        <w:rPr>
          <w:spacing w:val="10"/>
          <w:sz w:val="24"/>
          <w:szCs w:val="24"/>
        </w:rPr>
      </w:pPr>
      <w:r>
        <w:rPr>
          <w:rFonts w:hint="eastAsia"/>
          <w:spacing w:val="10"/>
          <w:sz w:val="24"/>
          <w:szCs w:val="24"/>
        </w:rPr>
        <w:t xml:space="preserve">  （6）投标有效期不满足招标文件要求的；</w:t>
      </w:r>
    </w:p>
    <w:p>
      <w:pPr>
        <w:spacing w:line="360" w:lineRule="exact"/>
        <w:ind w:firstLine="520" w:firstLineChars="200"/>
        <w:rPr>
          <w:spacing w:val="10"/>
          <w:sz w:val="24"/>
          <w:szCs w:val="24"/>
        </w:rPr>
      </w:pPr>
      <w:r>
        <w:rPr>
          <w:rFonts w:hint="eastAsia"/>
          <w:spacing w:val="10"/>
          <w:sz w:val="24"/>
          <w:szCs w:val="24"/>
        </w:rPr>
        <w:t>（7）未按招标文件要求提交投标保证金的；</w:t>
      </w:r>
    </w:p>
    <w:p>
      <w:pPr>
        <w:spacing w:line="360" w:lineRule="exact"/>
        <w:ind w:firstLine="520" w:firstLineChars="200"/>
        <w:rPr>
          <w:spacing w:val="10"/>
          <w:sz w:val="24"/>
          <w:szCs w:val="24"/>
        </w:rPr>
      </w:pPr>
      <w:r>
        <w:rPr>
          <w:rFonts w:hint="eastAsia"/>
          <w:spacing w:val="10"/>
          <w:sz w:val="24"/>
          <w:szCs w:val="24"/>
        </w:rPr>
        <w:t>（8）联合体投标时无联合体协议的；</w:t>
      </w:r>
    </w:p>
    <w:p>
      <w:pPr>
        <w:spacing w:line="360" w:lineRule="exact"/>
        <w:ind w:firstLine="520" w:firstLineChars="200"/>
        <w:rPr>
          <w:spacing w:val="10"/>
          <w:sz w:val="24"/>
          <w:szCs w:val="24"/>
        </w:rPr>
      </w:pPr>
      <w:r>
        <w:rPr>
          <w:rFonts w:hint="eastAsia"/>
          <w:spacing w:val="10"/>
          <w:sz w:val="24"/>
          <w:szCs w:val="24"/>
        </w:rPr>
        <w:t>（9）招标文件明确规定可以废标的其他情形。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ascii="宋体"/>
          <w:sz w:val="24"/>
          <w:szCs w:val="24"/>
        </w:rPr>
      </w:pPr>
      <w:r>
        <w:rPr>
          <w:rFonts w:hint="eastAsia" w:ascii="宋体"/>
          <w:sz w:val="24"/>
          <w:szCs w:val="24"/>
        </w:rPr>
        <w:t>1.1 招标方按照招标文件规定的时间、地点公开开标。开标仪式由招标方主持，委托方代表及有关工作人员参加。</w:t>
      </w:r>
    </w:p>
    <w:p>
      <w:pPr>
        <w:spacing w:line="360" w:lineRule="exact"/>
        <w:ind w:firstLine="480" w:firstLineChars="200"/>
        <w:rPr>
          <w:rFonts w:ascii="宋体"/>
          <w:sz w:val="24"/>
          <w:szCs w:val="24"/>
        </w:rPr>
      </w:pPr>
      <w:r>
        <w:rPr>
          <w:rFonts w:hint="eastAsia" w:ascii="宋体"/>
          <w:sz w:val="24"/>
          <w:szCs w:val="24"/>
        </w:rPr>
        <w:t>1.2 投标方派代表参加开标仪式，并携带有效证件（身份证、授权书）。</w:t>
      </w:r>
    </w:p>
    <w:p>
      <w:pPr>
        <w:spacing w:line="360" w:lineRule="exact"/>
        <w:ind w:firstLine="480" w:firstLineChars="200"/>
        <w:rPr>
          <w:rFonts w:ascii="宋体"/>
          <w:sz w:val="24"/>
          <w:szCs w:val="24"/>
        </w:rPr>
      </w:pPr>
      <w:r>
        <w:rPr>
          <w:rFonts w:hint="eastAsia" w:ascii="宋体"/>
          <w:sz w:val="24"/>
          <w:szCs w:val="24"/>
        </w:rPr>
        <w:t>1.3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1.4 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招标方根据招标货物特点组建评标委员会，对具备实质性响应的投标文件进行评估和比较。评标委员会由货物需求方、技术、经济等方面专家组成。</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评标委员会不向落标的投标方解释落标原因，不退还投标文件。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ascii="宋体"/>
          <w:sz w:val="24"/>
          <w:szCs w:val="24"/>
        </w:rPr>
      </w:pPr>
      <w:r>
        <w:rPr>
          <w:rFonts w:hint="eastAsia" w:ascii="宋体"/>
          <w:sz w:val="24"/>
          <w:szCs w:val="24"/>
        </w:rPr>
        <w:t>4.1 在投标有效期内，招标方以书面形式通知所选定的中标方。通知也可以电报、传真的形式，但需要随后以书面确认。</w:t>
      </w:r>
    </w:p>
    <w:p>
      <w:pPr>
        <w:spacing w:line="360" w:lineRule="exact"/>
        <w:ind w:firstLine="480" w:firstLineChars="200"/>
        <w:rPr>
          <w:rFonts w:ascii="宋体"/>
          <w:sz w:val="24"/>
          <w:szCs w:val="24"/>
        </w:rPr>
      </w:pPr>
      <w:r>
        <w:rPr>
          <w:rFonts w:hint="eastAsia" w:ascii="宋体"/>
          <w:sz w:val="24"/>
          <w:szCs w:val="24"/>
        </w:rPr>
        <w:t>4.2 当中标方按第30条规定与买方签订合同并提交履约保证金保函后，招标方将向其他投标方发出未中标通知，招标方对未中标的投标方不作未中标原因的任何解释。</w:t>
      </w:r>
    </w:p>
    <w:p>
      <w:pPr>
        <w:spacing w:line="360" w:lineRule="exact"/>
        <w:ind w:firstLine="480" w:firstLineChars="200"/>
        <w:rPr>
          <w:rFonts w:ascii="宋体"/>
          <w:sz w:val="24"/>
          <w:szCs w:val="24"/>
        </w:rPr>
      </w:pPr>
      <w:r>
        <w:rPr>
          <w:rFonts w:hint="eastAsia" w:ascii="宋体"/>
          <w:sz w:val="24"/>
          <w:szCs w:val="24"/>
        </w:rPr>
        <w:t>4.3招标方在向投标方授予中标通知书时，有权变更招标设备的数量和服务内容。</w:t>
      </w:r>
    </w:p>
    <w:p>
      <w:pPr>
        <w:spacing w:line="360" w:lineRule="exact"/>
        <w:ind w:firstLine="480" w:firstLineChars="200"/>
        <w:rPr>
          <w:rFonts w:ascii="宋体"/>
          <w:sz w:val="24"/>
          <w:szCs w:val="24"/>
        </w:rPr>
      </w:pPr>
      <w:r>
        <w:rPr>
          <w:rFonts w:hint="eastAsia" w:ascii="宋体"/>
          <w:sz w:val="24"/>
          <w:szCs w:val="24"/>
        </w:rPr>
        <w:t>4.4中标通知书将是合同的一个组成部分。</w:t>
      </w:r>
    </w:p>
    <w:p>
      <w:pPr>
        <w:spacing w:line="490" w:lineRule="exact"/>
        <w:ind w:left="501" w:leftChars="14" w:hanging="472" w:hangingChars="196"/>
        <w:outlineLvl w:val="0"/>
        <w:rPr>
          <w:rFonts w:ascii="宋体"/>
          <w:b/>
          <w:sz w:val="24"/>
          <w:szCs w:val="24"/>
        </w:rPr>
      </w:pPr>
      <w:r>
        <w:rPr>
          <w:rFonts w:hint="eastAsia" w:ascii="宋体"/>
          <w:b/>
          <w:sz w:val="24"/>
          <w:szCs w:val="24"/>
        </w:rPr>
        <w:t>5.签订合同</w:t>
      </w:r>
    </w:p>
    <w:p>
      <w:pPr>
        <w:spacing w:line="360" w:lineRule="exact"/>
        <w:ind w:firstLine="480" w:firstLineChars="200"/>
        <w:rPr>
          <w:rFonts w:ascii="宋体"/>
          <w:sz w:val="24"/>
          <w:szCs w:val="24"/>
        </w:rPr>
      </w:pPr>
      <w:r>
        <w:rPr>
          <w:rFonts w:hint="eastAsia" w:ascii="宋体"/>
          <w:sz w:val="24"/>
          <w:szCs w:val="24"/>
        </w:rPr>
        <w:t>5.1 中标方应按中标通知书中规定的时间、地点与买方签订合同，否则按开标后撤回投标处理。投标人不得误导买方降低配置签订合同，如经核实发现有此行为的投标商，被视为以不正当的竞标行为骗取中标，将取消其中标资格，并追究其法律责任。</w:t>
      </w:r>
    </w:p>
    <w:p>
      <w:pPr>
        <w:spacing w:line="360" w:lineRule="exact"/>
        <w:ind w:firstLine="480" w:firstLineChars="200"/>
        <w:rPr>
          <w:rFonts w:ascii="宋体"/>
          <w:sz w:val="24"/>
          <w:szCs w:val="24"/>
        </w:rPr>
      </w:pPr>
      <w:r>
        <w:rPr>
          <w:rFonts w:hint="eastAsia" w:ascii="宋体"/>
          <w:sz w:val="24"/>
          <w:szCs w:val="24"/>
        </w:rPr>
        <w:t>5.2 招标文件、中标方的投标文件及评标过程中有关澄清文件均应作为合同附件。</w:t>
      </w:r>
    </w:p>
    <w:p>
      <w:pPr>
        <w:spacing w:line="380" w:lineRule="exact"/>
        <w:jc w:val="both"/>
        <w:rPr>
          <w:rFonts w:ascii="宋体"/>
          <w:b/>
          <w:sz w:val="36"/>
        </w:rPr>
      </w:pP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7"/>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7"/>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2"/>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2"/>
        <w:keepNext w:val="0"/>
        <w:keepLines w:val="0"/>
        <w:snapToGrid w:val="0"/>
        <w:spacing w:before="0" w:after="0"/>
        <w:rPr>
          <w:rFonts w:ascii="CG Times (W1)" w:hAnsi="CG Times (W1)"/>
          <w:bCs w:val="0"/>
          <w:sz w:val="36"/>
          <w:szCs w:val="36"/>
        </w:rPr>
      </w:pPr>
      <w:bookmarkStart w:id="0" w:name="_Toc123786886"/>
    </w:p>
    <w:p>
      <w:pPr>
        <w:pStyle w:val="2"/>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8"/>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2"/>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8"/>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separate"/>
    </w:r>
    <w:r>
      <w:rPr>
        <w:rStyle w:val="15"/>
      </w:rPr>
      <w:t>21</w:t>
    </w:r>
    <w:r>
      <w:fldChar w:fldCharType="end"/>
    </w:r>
  </w:p>
  <w:p>
    <w:pPr>
      <w:pStyle w:val="8"/>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2A912F4"/>
    <w:rsid w:val="03C262F1"/>
    <w:rsid w:val="07D2296D"/>
    <w:rsid w:val="09277935"/>
    <w:rsid w:val="098241A2"/>
    <w:rsid w:val="0D3C38A1"/>
    <w:rsid w:val="0F9814BE"/>
    <w:rsid w:val="14285A98"/>
    <w:rsid w:val="14A06812"/>
    <w:rsid w:val="159314ED"/>
    <w:rsid w:val="16815279"/>
    <w:rsid w:val="175F6BC2"/>
    <w:rsid w:val="1F167CC7"/>
    <w:rsid w:val="205B36F5"/>
    <w:rsid w:val="23322746"/>
    <w:rsid w:val="24153F8E"/>
    <w:rsid w:val="291718B7"/>
    <w:rsid w:val="299240A3"/>
    <w:rsid w:val="29F0621E"/>
    <w:rsid w:val="2C2447F1"/>
    <w:rsid w:val="2FBA0BB5"/>
    <w:rsid w:val="30086581"/>
    <w:rsid w:val="30777E4A"/>
    <w:rsid w:val="319B7037"/>
    <w:rsid w:val="3215655A"/>
    <w:rsid w:val="32D1595B"/>
    <w:rsid w:val="33D04C54"/>
    <w:rsid w:val="33DF794F"/>
    <w:rsid w:val="356C1988"/>
    <w:rsid w:val="376D7DB8"/>
    <w:rsid w:val="37910FBB"/>
    <w:rsid w:val="38B258C1"/>
    <w:rsid w:val="3A9E2504"/>
    <w:rsid w:val="3AAE7EFA"/>
    <w:rsid w:val="3FB72C5D"/>
    <w:rsid w:val="412A50FB"/>
    <w:rsid w:val="41974216"/>
    <w:rsid w:val="45453F50"/>
    <w:rsid w:val="495A4AA4"/>
    <w:rsid w:val="4A000C96"/>
    <w:rsid w:val="4B687FE4"/>
    <w:rsid w:val="4C8C520F"/>
    <w:rsid w:val="4D0067BD"/>
    <w:rsid w:val="4DB33889"/>
    <w:rsid w:val="4EDD7913"/>
    <w:rsid w:val="531A7D56"/>
    <w:rsid w:val="54D413B8"/>
    <w:rsid w:val="54DA111D"/>
    <w:rsid w:val="562665AB"/>
    <w:rsid w:val="56276303"/>
    <w:rsid w:val="5C5906C3"/>
    <w:rsid w:val="5D5D0164"/>
    <w:rsid w:val="5E7062F4"/>
    <w:rsid w:val="5F2C10BF"/>
    <w:rsid w:val="60E341E8"/>
    <w:rsid w:val="61F4415C"/>
    <w:rsid w:val="649A0B64"/>
    <w:rsid w:val="66B33629"/>
    <w:rsid w:val="678E6A02"/>
    <w:rsid w:val="67A9739E"/>
    <w:rsid w:val="67BE7C23"/>
    <w:rsid w:val="68156F54"/>
    <w:rsid w:val="6A8F5644"/>
    <w:rsid w:val="6B5C7268"/>
    <w:rsid w:val="6B7C23DA"/>
    <w:rsid w:val="6C4A1365"/>
    <w:rsid w:val="6D1E5C16"/>
    <w:rsid w:val="6E27744E"/>
    <w:rsid w:val="6E447D9B"/>
    <w:rsid w:val="6E7A77DB"/>
    <w:rsid w:val="72527BE4"/>
    <w:rsid w:val="765A5E07"/>
    <w:rsid w:val="7C323AFE"/>
    <w:rsid w:val="7DFD1EE3"/>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7"/>
    <w:qFormat/>
    <w:uiPriority w:val="0"/>
    <w:rPr>
      <w:rFonts w:ascii="宋体"/>
      <w:sz w:val="18"/>
      <w:szCs w:val="18"/>
    </w:rPr>
  </w:style>
  <w:style w:type="paragraph" w:styleId="4">
    <w:name w:val="Body Text"/>
    <w:basedOn w:val="1"/>
    <w:qFormat/>
    <w:uiPriority w:val="0"/>
    <w:pPr>
      <w:spacing w:line="360" w:lineRule="exact"/>
    </w:pPr>
    <w:rPr>
      <w:rFonts w:ascii="宋体"/>
      <w:sz w:val="24"/>
    </w:rPr>
  </w:style>
  <w:style w:type="paragraph" w:styleId="5">
    <w:name w:val="Body Text Indent"/>
    <w:basedOn w:val="1"/>
    <w:qFormat/>
    <w:uiPriority w:val="0"/>
    <w:pPr>
      <w:spacing w:line="500" w:lineRule="exact"/>
      <w:ind w:firstLine="560" w:firstLineChars="200"/>
      <w:jc w:val="left"/>
    </w:pPr>
    <w:rPr>
      <w:rFonts w:ascii="宋体"/>
      <w:bCs/>
      <w:sz w:val="28"/>
    </w:rPr>
  </w:style>
  <w:style w:type="paragraph" w:styleId="6">
    <w:name w:val="Plain Text"/>
    <w:basedOn w:val="1"/>
    <w:qFormat/>
    <w:uiPriority w:val="0"/>
    <w:pPr>
      <w:adjustRightInd/>
      <w:spacing w:line="240" w:lineRule="auto"/>
      <w:textAlignment w:val="auto"/>
    </w:pPr>
    <w:rPr>
      <w:rFonts w:ascii="宋体" w:hAnsi="Courier New"/>
      <w:kern w:val="2"/>
    </w:rPr>
  </w:style>
  <w:style w:type="paragraph" w:styleId="7">
    <w:name w:val="Date"/>
    <w:basedOn w:val="1"/>
    <w:next w:val="1"/>
    <w:qFormat/>
    <w:uiPriority w:val="0"/>
    <w:pPr>
      <w:adjustRightInd/>
      <w:spacing w:line="240" w:lineRule="auto"/>
      <w:textAlignment w:val="auto"/>
    </w:pPr>
    <w:rPr>
      <w:rFonts w:ascii="Times New Roman" w:hAnsi="Times New Roman"/>
      <w:kern w:val="2"/>
    </w:rPr>
  </w:style>
  <w:style w:type="paragraph" w:styleId="8">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9">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0">
    <w:name w:val="Body Text 2"/>
    <w:basedOn w:val="1"/>
    <w:qFormat/>
    <w:uiPriority w:val="0"/>
    <w:pPr>
      <w:spacing w:line="500" w:lineRule="exact"/>
    </w:pPr>
    <w:rPr>
      <w:rFonts w:ascii="宋体"/>
      <w:bCs/>
      <w:sz w:val="28"/>
    </w:rPr>
  </w:style>
  <w:style w:type="paragraph" w:styleId="11">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3">
    <w:name w:val="Table Grid"/>
    <w:basedOn w:val="12"/>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paragraph" w:customStyle="1" w:styleId="16">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7">
    <w:name w:val="文档结构图 Char"/>
    <w:basedOn w:val="14"/>
    <w:link w:val="3"/>
    <w:qFormat/>
    <w:uiPriority w:val="0"/>
    <w:rPr>
      <w:rFonts w:ascii="宋体"/>
      <w:sz w:val="18"/>
      <w:szCs w:val="18"/>
    </w:rPr>
  </w:style>
  <w:style w:type="character" w:customStyle="1" w:styleId="18">
    <w:name w:val="font41"/>
    <w:basedOn w:val="14"/>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2</TotalTime>
  <ScaleCrop>false</ScaleCrop>
  <LinksUpToDate>false</LinksUpToDate>
  <CharactersWithSpaces>12424</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未定义</cp:lastModifiedBy>
  <cp:lastPrinted>2012-02-05T05:46:00Z</cp:lastPrinted>
  <dcterms:modified xsi:type="dcterms:W3CDTF">2021-04-27T01:11:18Z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9F2ADFA65BB54A70BF363B5A525EC0A9</vt:lpwstr>
  </property>
</Properties>
</file>