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微软雅黑" w:hAnsi="微软雅黑" w:eastAsia="微软雅黑"/>
          <w:b/>
          <w:bCs/>
          <w:spacing w:val="26"/>
          <w:sz w:val="32"/>
          <w:szCs w:val="32"/>
          <w:highlight w:val="none"/>
        </w:rPr>
      </w:pPr>
      <w:r>
        <w:rPr>
          <w:rFonts w:hint="eastAsia" w:ascii="微软雅黑" w:hAnsi="微软雅黑" w:eastAsia="微软雅黑"/>
          <w:b/>
          <w:bCs/>
          <w:spacing w:val="26"/>
          <w:sz w:val="32"/>
          <w:szCs w:val="32"/>
          <w:highlight w:val="none"/>
        </w:rPr>
        <w:t>北  国  商  城  股  份  有  限  公  司</w:t>
      </w:r>
    </w:p>
    <w:p>
      <w:pPr>
        <w:adjustRightInd w:val="0"/>
        <w:snapToGrid w:val="0"/>
        <w:spacing w:line="360" w:lineRule="auto"/>
        <w:jc w:val="center"/>
        <w:rPr>
          <w:rFonts w:ascii="微软雅黑" w:hAnsi="微软雅黑" w:eastAsia="微软雅黑"/>
          <w:b/>
          <w:bCs/>
          <w:spacing w:val="26"/>
          <w:szCs w:val="21"/>
          <w:highlight w:val="none"/>
        </w:rPr>
      </w:pPr>
    </w:p>
    <w:p>
      <w:pPr>
        <w:adjustRightInd w:val="0"/>
        <w:snapToGrid w:val="0"/>
        <w:spacing w:line="360" w:lineRule="auto"/>
        <w:jc w:val="center"/>
        <w:rPr>
          <w:rFonts w:ascii="微软雅黑" w:hAnsi="微软雅黑" w:eastAsia="微软雅黑" w:cs="微软雅黑"/>
          <w:b/>
          <w:kern w:val="0"/>
          <w:sz w:val="32"/>
          <w:szCs w:val="32"/>
          <w:highlight w:val="none"/>
        </w:rPr>
      </w:pPr>
      <w:r>
        <w:rPr>
          <w:rFonts w:hint="eastAsia" w:ascii="微软雅黑" w:hAnsi="微软雅黑" w:eastAsia="微软雅黑" w:cs="微软雅黑"/>
          <w:b/>
          <w:kern w:val="0"/>
          <w:sz w:val="32"/>
          <w:szCs w:val="32"/>
          <w:highlight w:val="none"/>
        </w:rPr>
        <w:t>北国先天下容灾调整项目</w:t>
      </w:r>
    </w:p>
    <w:p>
      <w:pPr>
        <w:adjustRightInd w:val="0"/>
        <w:snapToGrid w:val="0"/>
        <w:spacing w:line="360" w:lineRule="auto"/>
        <w:jc w:val="center"/>
        <w:rPr>
          <w:rFonts w:ascii="微软雅黑" w:hAnsi="微软雅黑" w:eastAsia="微软雅黑" w:cs="微软雅黑"/>
          <w:b/>
          <w:kern w:val="0"/>
          <w:szCs w:val="21"/>
        </w:rPr>
      </w:pPr>
    </w:p>
    <w:p>
      <w:pPr>
        <w:adjustRightInd w:val="0"/>
        <w:snapToGrid w:val="0"/>
        <w:spacing w:line="360" w:lineRule="auto"/>
        <w:jc w:val="center"/>
        <w:rPr>
          <w:rFonts w:ascii="微软雅黑" w:hAnsi="微软雅黑" w:eastAsia="微软雅黑" w:cs="微软雅黑"/>
          <w:b/>
          <w:kern w:val="0"/>
          <w:szCs w:val="21"/>
        </w:rPr>
      </w:pPr>
    </w:p>
    <w:p>
      <w:pPr>
        <w:adjustRightInd w:val="0"/>
        <w:snapToGrid w:val="0"/>
        <w:spacing w:line="360" w:lineRule="auto"/>
        <w:jc w:val="center"/>
        <w:rPr>
          <w:rFonts w:ascii="微软雅黑" w:hAnsi="微软雅黑" w:eastAsia="微软雅黑"/>
          <w:b/>
          <w:bCs/>
          <w:spacing w:val="26"/>
          <w:sz w:val="32"/>
          <w:szCs w:val="32"/>
        </w:rPr>
      </w:pPr>
    </w:p>
    <w:p>
      <w:pPr>
        <w:adjustRightInd w:val="0"/>
        <w:snapToGrid w:val="0"/>
        <w:spacing w:line="360" w:lineRule="auto"/>
        <w:jc w:val="center"/>
        <w:rPr>
          <w:rFonts w:ascii="微软雅黑" w:hAnsi="微软雅黑" w:eastAsia="微软雅黑"/>
          <w:b/>
          <w:bCs/>
          <w:spacing w:val="48"/>
          <w:sz w:val="32"/>
          <w:szCs w:val="32"/>
        </w:rPr>
      </w:pPr>
    </w:p>
    <w:p>
      <w:pPr>
        <w:adjustRightInd w:val="0"/>
        <w:snapToGrid w:val="0"/>
        <w:spacing w:line="360" w:lineRule="auto"/>
        <w:jc w:val="center"/>
        <w:rPr>
          <w:rFonts w:ascii="微软雅黑" w:hAnsi="微软雅黑" w:eastAsia="微软雅黑"/>
          <w:b/>
          <w:bCs/>
          <w:spacing w:val="48"/>
          <w:sz w:val="32"/>
          <w:szCs w:val="32"/>
        </w:rPr>
      </w:pP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招</w:t>
      </w: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标</w:t>
      </w: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文</w:t>
      </w:r>
    </w:p>
    <w:p>
      <w:pPr>
        <w:adjustRightInd w:val="0"/>
        <w:snapToGrid w:val="0"/>
        <w:spacing w:line="360" w:lineRule="auto"/>
        <w:jc w:val="center"/>
        <w:rPr>
          <w:rFonts w:ascii="微软雅黑" w:hAnsi="微软雅黑" w:eastAsia="微软雅黑"/>
          <w:b/>
          <w:bCs/>
          <w:spacing w:val="5"/>
          <w:sz w:val="32"/>
          <w:szCs w:val="32"/>
        </w:rPr>
      </w:pPr>
      <w:r>
        <w:rPr>
          <w:rFonts w:hint="eastAsia" w:ascii="微软雅黑" w:hAnsi="微软雅黑" w:eastAsia="微软雅黑"/>
          <w:b/>
          <w:bCs/>
          <w:spacing w:val="5"/>
          <w:sz w:val="32"/>
          <w:szCs w:val="32"/>
        </w:rPr>
        <w:t>件</w:t>
      </w:r>
    </w:p>
    <w:p>
      <w:pPr>
        <w:adjustRightInd w:val="0"/>
        <w:snapToGrid w:val="0"/>
        <w:spacing w:line="360" w:lineRule="auto"/>
        <w:jc w:val="center"/>
        <w:rPr>
          <w:rFonts w:ascii="微软雅黑" w:hAnsi="微软雅黑" w:eastAsia="微软雅黑"/>
          <w:b/>
          <w:bCs/>
          <w:spacing w:val="5"/>
          <w:sz w:val="32"/>
          <w:szCs w:val="32"/>
        </w:rPr>
      </w:pPr>
    </w:p>
    <w:p>
      <w:pPr>
        <w:adjustRightInd w:val="0"/>
        <w:snapToGrid w:val="0"/>
        <w:spacing w:line="360" w:lineRule="auto"/>
        <w:jc w:val="center"/>
        <w:rPr>
          <w:rFonts w:ascii="微软雅黑" w:hAnsi="微软雅黑" w:eastAsia="微软雅黑"/>
          <w:b/>
          <w:bCs/>
          <w:spacing w:val="5"/>
          <w:sz w:val="32"/>
          <w:szCs w:val="32"/>
        </w:rPr>
      </w:pPr>
    </w:p>
    <w:p>
      <w:pPr>
        <w:adjustRightInd w:val="0"/>
        <w:snapToGrid w:val="0"/>
        <w:spacing w:line="360" w:lineRule="auto"/>
        <w:rPr>
          <w:rFonts w:ascii="微软雅黑" w:hAnsi="微软雅黑" w:eastAsia="微软雅黑"/>
          <w:b/>
          <w:bCs/>
          <w:spacing w:val="5"/>
          <w:sz w:val="32"/>
          <w:szCs w:val="32"/>
        </w:rPr>
      </w:pPr>
    </w:p>
    <w:p>
      <w:pPr>
        <w:autoSpaceDE w:val="0"/>
        <w:autoSpaceDN w:val="0"/>
        <w:adjustRightInd w:val="0"/>
        <w:spacing w:line="360" w:lineRule="auto"/>
        <w:rPr>
          <w:rFonts w:ascii="微软雅黑" w:hAnsi="微软雅黑" w:eastAsia="微软雅黑"/>
          <w:b/>
          <w:sz w:val="32"/>
          <w:szCs w:val="32"/>
        </w:rPr>
      </w:pPr>
      <w:r>
        <w:rPr>
          <w:rFonts w:hint="eastAsia" w:ascii="微软雅黑" w:hAnsi="微软雅黑" w:eastAsia="微软雅黑"/>
          <w:b/>
          <w:sz w:val="32"/>
          <w:szCs w:val="32"/>
        </w:rPr>
        <w:t xml:space="preserve">               招 标 人：北国股份有限公司</w:t>
      </w:r>
    </w:p>
    <w:p>
      <w:pPr>
        <w:widowControl/>
        <w:spacing w:line="360" w:lineRule="auto"/>
        <w:ind w:firstLine="2388" w:firstLineChars="746"/>
        <w:jc w:val="left"/>
        <w:rPr>
          <w:rFonts w:ascii="微软雅黑" w:hAnsi="微软雅黑" w:eastAsia="微软雅黑"/>
          <w:b/>
          <w:sz w:val="32"/>
          <w:szCs w:val="32"/>
          <w:highlight w:val="none"/>
        </w:rPr>
      </w:pPr>
      <w:r>
        <w:rPr>
          <w:rFonts w:hint="eastAsia" w:ascii="微软雅黑" w:hAnsi="微软雅黑" w:eastAsia="微软雅黑"/>
          <w:b/>
          <w:sz w:val="32"/>
          <w:szCs w:val="32"/>
        </w:rPr>
        <w:t>招标时间：</w:t>
      </w:r>
      <w:r>
        <w:rPr>
          <w:rFonts w:hint="eastAsia" w:ascii="微软雅黑" w:hAnsi="微软雅黑" w:eastAsia="微软雅黑"/>
          <w:b/>
          <w:sz w:val="32"/>
          <w:szCs w:val="32"/>
          <w:highlight w:val="none"/>
        </w:rPr>
        <w:t>20</w:t>
      </w:r>
      <w:r>
        <w:rPr>
          <w:rFonts w:ascii="微软雅黑" w:hAnsi="微软雅黑" w:eastAsia="微软雅黑"/>
          <w:b/>
          <w:sz w:val="32"/>
          <w:szCs w:val="32"/>
          <w:highlight w:val="none"/>
        </w:rPr>
        <w:t>23</w:t>
      </w:r>
      <w:r>
        <w:rPr>
          <w:rFonts w:hint="eastAsia" w:ascii="微软雅黑" w:hAnsi="微软雅黑" w:eastAsia="微软雅黑"/>
          <w:b/>
          <w:sz w:val="32"/>
          <w:szCs w:val="32"/>
          <w:highlight w:val="none"/>
        </w:rPr>
        <w:t>年</w:t>
      </w:r>
      <w:r>
        <w:rPr>
          <w:rFonts w:hint="eastAsia" w:ascii="微软雅黑" w:hAnsi="微软雅黑" w:eastAsia="微软雅黑"/>
          <w:b/>
          <w:sz w:val="32"/>
          <w:szCs w:val="32"/>
          <w:highlight w:val="none"/>
          <w:lang w:val="en-US" w:eastAsia="zh-CN"/>
        </w:rPr>
        <w:t>3</w:t>
      </w:r>
      <w:r>
        <w:rPr>
          <w:rFonts w:hint="eastAsia" w:ascii="微软雅黑" w:hAnsi="微软雅黑" w:eastAsia="微软雅黑"/>
          <w:b/>
          <w:sz w:val="32"/>
          <w:szCs w:val="32"/>
          <w:highlight w:val="none"/>
        </w:rPr>
        <w:t>月</w:t>
      </w:r>
      <w:r>
        <w:rPr>
          <w:rFonts w:hint="eastAsia" w:ascii="微软雅黑" w:hAnsi="微软雅黑" w:eastAsia="微软雅黑"/>
          <w:b/>
          <w:sz w:val="32"/>
          <w:szCs w:val="32"/>
          <w:highlight w:val="none"/>
          <w:lang w:val="en-US" w:eastAsia="zh-CN"/>
        </w:rPr>
        <w:t>1</w:t>
      </w:r>
      <w:r>
        <w:rPr>
          <w:rFonts w:hint="eastAsia" w:ascii="微软雅黑" w:hAnsi="微软雅黑" w:eastAsia="微软雅黑"/>
          <w:b/>
          <w:sz w:val="32"/>
          <w:szCs w:val="32"/>
          <w:highlight w:val="none"/>
        </w:rPr>
        <w:t>日</w:t>
      </w:r>
    </w:p>
    <w:p>
      <w:pPr>
        <w:widowControl/>
        <w:spacing w:line="360" w:lineRule="auto"/>
        <w:ind w:firstLine="2388" w:firstLineChars="746"/>
        <w:jc w:val="left"/>
        <w:rPr>
          <w:rFonts w:ascii="微软雅黑" w:hAnsi="微软雅黑" w:eastAsia="微软雅黑"/>
          <w:b/>
          <w:sz w:val="32"/>
          <w:szCs w:val="32"/>
          <w:highlight w:val="none"/>
          <w:u w:val="single"/>
        </w:rPr>
      </w:pPr>
      <w:r>
        <w:rPr>
          <w:rFonts w:hint="eastAsia" w:ascii="微软雅黑" w:hAnsi="微软雅黑" w:eastAsia="微软雅黑"/>
          <w:b/>
          <w:sz w:val="32"/>
          <w:szCs w:val="32"/>
          <w:highlight w:val="none"/>
        </w:rPr>
        <w:t>招标地点：</w:t>
      </w:r>
      <w:r>
        <w:rPr>
          <w:rFonts w:hint="eastAsia" w:ascii="微软雅黑" w:hAnsi="微软雅黑" w:eastAsia="微软雅黑"/>
          <w:b/>
          <w:color w:val="000000"/>
          <w:sz w:val="32"/>
          <w:szCs w:val="32"/>
          <w:highlight w:val="none"/>
        </w:rPr>
        <w:t>石家庄中山东路188号北国商城</w:t>
      </w:r>
    </w:p>
    <w:p/>
    <w:p/>
    <w:p/>
    <w:p>
      <w:pPr>
        <w:jc w:val="center"/>
        <w:rPr>
          <w:rFonts w:ascii="黑体" w:hAnsi="黑体" w:eastAsia="黑体"/>
        </w:rPr>
      </w:pPr>
      <w:r>
        <w:rPr>
          <w:rFonts w:ascii="黑体" w:hAnsi="黑体" w:eastAsia="黑体"/>
        </w:rPr>
        <w:t>目录</w:t>
      </w:r>
    </w:p>
    <w:p>
      <w:pPr>
        <w:pStyle w:val="11"/>
        <w:tabs>
          <w:tab w:val="right" w:leader="dot" w:pos="9752"/>
        </w:tabs>
        <w:adjustRightInd w:val="0"/>
        <w:snapToGrid w:val="0"/>
        <w:spacing w:line="360" w:lineRule="auto"/>
      </w:pPr>
      <w:r>
        <w:rPr>
          <w:rFonts w:ascii="黑体" w:hAnsi="黑体" w:eastAsia="黑体"/>
        </w:rPr>
        <w:fldChar w:fldCharType="begin"/>
      </w:r>
      <w:r>
        <w:rPr>
          <w:rFonts w:ascii="黑体" w:hAnsi="黑体" w:eastAsia="黑体"/>
        </w:rPr>
        <w:instrText xml:space="preserve"> TOC \o "1-3" \h \z \u </w:instrText>
      </w:r>
      <w:r>
        <w:rPr>
          <w:rFonts w:ascii="黑体" w:hAnsi="黑体" w:eastAsia="黑体"/>
        </w:rPr>
        <w:fldChar w:fldCharType="separate"/>
      </w:r>
      <w:r>
        <w:fldChar w:fldCharType="begin"/>
      </w:r>
      <w:r>
        <w:instrText xml:space="preserve"> HYPERLINK \l "_Toc10293" </w:instrText>
      </w:r>
      <w:r>
        <w:fldChar w:fldCharType="separate"/>
      </w:r>
      <w:r>
        <w:rPr>
          <w:rFonts w:hint="eastAsia" w:ascii="微软雅黑" w:hAnsi="微软雅黑" w:eastAsia="微软雅黑"/>
          <w:szCs w:val="30"/>
        </w:rPr>
        <w:t>1.投标</w:t>
      </w:r>
      <w:r>
        <w:rPr>
          <w:rFonts w:ascii="微软雅黑" w:hAnsi="微软雅黑" w:eastAsia="微软雅黑"/>
          <w:szCs w:val="30"/>
        </w:rPr>
        <w:t>邀请</w:t>
      </w:r>
      <w:r>
        <w:tab/>
      </w:r>
      <w:r>
        <w:fldChar w:fldCharType="begin"/>
      </w:r>
      <w:r>
        <w:instrText xml:space="preserve"> PAGEREF _Toc10293 \h </w:instrText>
      </w:r>
      <w:r>
        <w:fldChar w:fldCharType="separate"/>
      </w:r>
      <w:r>
        <w:t>4</w:t>
      </w:r>
      <w:r>
        <w:fldChar w:fldCharType="end"/>
      </w:r>
      <w:r>
        <w:fldChar w:fldCharType="end"/>
      </w:r>
    </w:p>
    <w:p>
      <w:pPr>
        <w:pStyle w:val="11"/>
        <w:tabs>
          <w:tab w:val="right" w:leader="dot" w:pos="9752"/>
        </w:tabs>
        <w:adjustRightInd w:val="0"/>
        <w:snapToGrid w:val="0"/>
        <w:spacing w:line="360" w:lineRule="auto"/>
      </w:pPr>
      <w:r>
        <w:fldChar w:fldCharType="begin"/>
      </w:r>
      <w:r>
        <w:instrText xml:space="preserve"> HYPERLINK \l "_Toc7683" </w:instrText>
      </w:r>
      <w:r>
        <w:fldChar w:fldCharType="separate"/>
      </w:r>
      <w:r>
        <w:rPr>
          <w:rFonts w:hint="eastAsia" w:ascii="微软雅黑" w:hAnsi="微软雅黑" w:eastAsia="微软雅黑"/>
          <w:szCs w:val="30"/>
        </w:rPr>
        <w:t>2.投标须知</w:t>
      </w:r>
      <w:r>
        <w:tab/>
      </w:r>
      <w:r>
        <w:fldChar w:fldCharType="begin"/>
      </w:r>
      <w:r>
        <w:instrText xml:space="preserve"> PAGEREF _Toc7683 \h </w:instrText>
      </w:r>
      <w:r>
        <w:fldChar w:fldCharType="separate"/>
      </w:r>
      <w:r>
        <w:t>5</w:t>
      </w:r>
      <w:r>
        <w:fldChar w:fldCharType="end"/>
      </w:r>
      <w:r>
        <w:fldChar w:fldCharType="end"/>
      </w:r>
    </w:p>
    <w:p>
      <w:pPr>
        <w:pStyle w:val="12"/>
        <w:tabs>
          <w:tab w:val="right" w:leader="dot" w:pos="9752"/>
        </w:tabs>
        <w:adjustRightInd w:val="0"/>
        <w:snapToGrid w:val="0"/>
        <w:spacing w:line="360" w:lineRule="auto"/>
      </w:pPr>
      <w:r>
        <w:fldChar w:fldCharType="begin"/>
      </w:r>
      <w:r>
        <w:instrText xml:space="preserve"> HYPERLINK \l "_Toc18978" </w:instrText>
      </w:r>
      <w:r>
        <w:fldChar w:fldCharType="separate"/>
      </w:r>
      <w:r>
        <w:rPr>
          <w:rFonts w:hint="eastAsia" w:ascii="微软雅黑" w:hAnsi="微软雅黑" w:eastAsia="微软雅黑"/>
          <w:szCs w:val="28"/>
        </w:rPr>
        <w:t>2.1概述</w:t>
      </w:r>
      <w:r>
        <w:tab/>
      </w:r>
      <w:r>
        <w:fldChar w:fldCharType="begin"/>
      </w:r>
      <w:r>
        <w:instrText xml:space="preserve"> PAGEREF _Toc18978 \h </w:instrText>
      </w:r>
      <w:r>
        <w:fldChar w:fldCharType="separate"/>
      </w:r>
      <w:r>
        <w:t>5</w:t>
      </w:r>
      <w:r>
        <w:fldChar w:fldCharType="end"/>
      </w:r>
      <w:r>
        <w:fldChar w:fldCharType="end"/>
      </w:r>
    </w:p>
    <w:p>
      <w:pPr>
        <w:pStyle w:val="12"/>
        <w:tabs>
          <w:tab w:val="right" w:leader="dot" w:pos="9752"/>
        </w:tabs>
        <w:adjustRightInd w:val="0"/>
        <w:snapToGrid w:val="0"/>
        <w:spacing w:line="360" w:lineRule="auto"/>
      </w:pPr>
      <w:r>
        <w:fldChar w:fldCharType="begin"/>
      </w:r>
      <w:r>
        <w:instrText xml:space="preserve"> HYPERLINK \l "_Toc8987" </w:instrText>
      </w:r>
      <w:r>
        <w:fldChar w:fldCharType="separate"/>
      </w:r>
      <w:r>
        <w:rPr>
          <w:rFonts w:hint="eastAsia" w:ascii="微软雅黑" w:hAnsi="微软雅黑" w:eastAsia="微软雅黑"/>
          <w:szCs w:val="28"/>
        </w:rPr>
        <w:t>2.2投标人资格要求</w:t>
      </w:r>
      <w:r>
        <w:tab/>
      </w:r>
      <w:r>
        <w:fldChar w:fldCharType="begin"/>
      </w:r>
      <w:r>
        <w:instrText xml:space="preserve"> PAGEREF _Toc8987 \h </w:instrText>
      </w:r>
      <w:r>
        <w:fldChar w:fldCharType="separate"/>
      </w:r>
      <w:r>
        <w:t>5</w:t>
      </w:r>
      <w:r>
        <w:fldChar w:fldCharType="end"/>
      </w:r>
      <w:r>
        <w:fldChar w:fldCharType="end"/>
      </w:r>
    </w:p>
    <w:p>
      <w:pPr>
        <w:pStyle w:val="12"/>
        <w:tabs>
          <w:tab w:val="right" w:leader="dot" w:pos="9752"/>
        </w:tabs>
        <w:adjustRightInd w:val="0"/>
        <w:snapToGrid w:val="0"/>
        <w:spacing w:line="360" w:lineRule="auto"/>
      </w:pPr>
      <w:r>
        <w:fldChar w:fldCharType="begin"/>
      </w:r>
      <w:r>
        <w:instrText xml:space="preserve"> HYPERLINK \l "_Toc11871" </w:instrText>
      </w:r>
      <w:r>
        <w:fldChar w:fldCharType="separate"/>
      </w:r>
      <w:r>
        <w:rPr>
          <w:rFonts w:hint="eastAsia" w:ascii="微软雅黑" w:hAnsi="微软雅黑" w:eastAsia="微软雅黑"/>
          <w:szCs w:val="28"/>
        </w:rPr>
        <w:t>2.3投标文件的组成</w:t>
      </w:r>
      <w:r>
        <w:tab/>
      </w:r>
      <w:r>
        <w:fldChar w:fldCharType="begin"/>
      </w:r>
      <w:r>
        <w:instrText xml:space="preserve"> PAGEREF _Toc11871 \h </w:instrText>
      </w:r>
      <w:r>
        <w:fldChar w:fldCharType="separate"/>
      </w:r>
      <w:r>
        <w:t>6</w:t>
      </w:r>
      <w:r>
        <w:fldChar w:fldCharType="end"/>
      </w:r>
      <w:r>
        <w:fldChar w:fldCharType="end"/>
      </w:r>
    </w:p>
    <w:p>
      <w:pPr>
        <w:pStyle w:val="12"/>
        <w:tabs>
          <w:tab w:val="right" w:leader="dot" w:pos="9752"/>
        </w:tabs>
        <w:adjustRightInd w:val="0"/>
        <w:snapToGrid w:val="0"/>
        <w:spacing w:line="360" w:lineRule="auto"/>
      </w:pPr>
      <w:r>
        <w:fldChar w:fldCharType="begin"/>
      </w:r>
      <w:r>
        <w:instrText xml:space="preserve"> HYPERLINK \l "_Toc32633" </w:instrText>
      </w:r>
      <w:r>
        <w:fldChar w:fldCharType="separate"/>
      </w:r>
      <w:r>
        <w:rPr>
          <w:rFonts w:hint="eastAsia" w:ascii="微软雅黑" w:hAnsi="微软雅黑" w:eastAsia="微软雅黑"/>
          <w:szCs w:val="28"/>
        </w:rPr>
        <w:t>2.4投标文件的编制</w:t>
      </w:r>
      <w:r>
        <w:tab/>
      </w:r>
      <w:r>
        <w:fldChar w:fldCharType="begin"/>
      </w:r>
      <w:r>
        <w:instrText xml:space="preserve"> PAGEREF _Toc32633 \h </w:instrText>
      </w:r>
      <w:r>
        <w:fldChar w:fldCharType="separate"/>
      </w:r>
      <w:r>
        <w:t>6</w:t>
      </w:r>
      <w:r>
        <w:fldChar w:fldCharType="end"/>
      </w:r>
      <w:r>
        <w:fldChar w:fldCharType="end"/>
      </w:r>
    </w:p>
    <w:p>
      <w:pPr>
        <w:pStyle w:val="12"/>
        <w:tabs>
          <w:tab w:val="right" w:leader="dot" w:pos="9752"/>
        </w:tabs>
        <w:adjustRightInd w:val="0"/>
        <w:snapToGrid w:val="0"/>
        <w:spacing w:line="360" w:lineRule="auto"/>
      </w:pPr>
      <w:r>
        <w:fldChar w:fldCharType="begin"/>
      </w:r>
      <w:r>
        <w:instrText xml:space="preserve"> HYPERLINK \l "_Toc21293" </w:instrText>
      </w:r>
      <w:r>
        <w:fldChar w:fldCharType="separate"/>
      </w:r>
      <w:r>
        <w:rPr>
          <w:rFonts w:hint="eastAsia" w:ascii="微软雅黑" w:hAnsi="微软雅黑" w:eastAsia="微软雅黑"/>
          <w:szCs w:val="28"/>
        </w:rPr>
        <w:t>2.5投标文件的内容</w:t>
      </w:r>
      <w:r>
        <w:tab/>
      </w:r>
      <w:r>
        <w:fldChar w:fldCharType="begin"/>
      </w:r>
      <w:r>
        <w:instrText xml:space="preserve"> PAGEREF _Toc21293 \h </w:instrText>
      </w:r>
      <w:r>
        <w:fldChar w:fldCharType="separate"/>
      </w:r>
      <w:r>
        <w:t>7</w:t>
      </w:r>
      <w:r>
        <w:fldChar w:fldCharType="end"/>
      </w:r>
      <w:r>
        <w:fldChar w:fldCharType="end"/>
      </w:r>
    </w:p>
    <w:p>
      <w:pPr>
        <w:pStyle w:val="6"/>
        <w:tabs>
          <w:tab w:val="right" w:leader="dot" w:pos="9752"/>
        </w:tabs>
        <w:adjustRightInd w:val="0"/>
        <w:snapToGrid w:val="0"/>
        <w:spacing w:line="360" w:lineRule="auto"/>
      </w:pPr>
      <w:r>
        <w:fldChar w:fldCharType="begin"/>
      </w:r>
      <w:r>
        <w:instrText xml:space="preserve"> HYPERLINK \l "_Toc25591" </w:instrText>
      </w:r>
      <w:r>
        <w:fldChar w:fldCharType="separate"/>
      </w:r>
      <w:r>
        <w:rPr>
          <w:rFonts w:hint="eastAsia" w:ascii="微软雅黑" w:hAnsi="微软雅黑" w:eastAsia="微软雅黑"/>
        </w:rPr>
        <w:t>2.5.1商务标的内容</w:t>
      </w:r>
      <w:r>
        <w:tab/>
      </w:r>
      <w:r>
        <w:fldChar w:fldCharType="begin"/>
      </w:r>
      <w:r>
        <w:instrText xml:space="preserve"> PAGEREF _Toc25591 \h </w:instrText>
      </w:r>
      <w:r>
        <w:fldChar w:fldCharType="separate"/>
      </w:r>
      <w:r>
        <w:t>7</w:t>
      </w:r>
      <w:r>
        <w:fldChar w:fldCharType="end"/>
      </w:r>
      <w:r>
        <w:fldChar w:fldCharType="end"/>
      </w:r>
    </w:p>
    <w:p>
      <w:pPr>
        <w:pStyle w:val="6"/>
        <w:tabs>
          <w:tab w:val="right" w:leader="dot" w:pos="9752"/>
        </w:tabs>
        <w:adjustRightInd w:val="0"/>
        <w:snapToGrid w:val="0"/>
        <w:spacing w:line="360" w:lineRule="auto"/>
      </w:pPr>
      <w:r>
        <w:fldChar w:fldCharType="begin"/>
      </w:r>
      <w:r>
        <w:instrText xml:space="preserve"> HYPERLINK \l "_Toc11032" </w:instrText>
      </w:r>
      <w:r>
        <w:fldChar w:fldCharType="separate"/>
      </w:r>
      <w:r>
        <w:rPr>
          <w:rFonts w:hint="eastAsia" w:ascii="微软雅黑" w:hAnsi="微软雅黑" w:eastAsia="微软雅黑"/>
        </w:rPr>
        <w:t>2.5.2技术标的内容</w:t>
      </w:r>
      <w:r>
        <w:tab/>
      </w:r>
      <w:r>
        <w:fldChar w:fldCharType="begin"/>
      </w:r>
      <w:r>
        <w:instrText xml:space="preserve"> PAGEREF _Toc11032 \h </w:instrText>
      </w:r>
      <w:r>
        <w:fldChar w:fldCharType="separate"/>
      </w:r>
      <w:r>
        <w:t>8</w:t>
      </w:r>
      <w:r>
        <w:fldChar w:fldCharType="end"/>
      </w:r>
      <w:r>
        <w:fldChar w:fldCharType="end"/>
      </w:r>
    </w:p>
    <w:p>
      <w:pPr>
        <w:pStyle w:val="12"/>
        <w:tabs>
          <w:tab w:val="right" w:leader="dot" w:pos="9752"/>
        </w:tabs>
        <w:adjustRightInd w:val="0"/>
        <w:snapToGrid w:val="0"/>
        <w:spacing w:line="360" w:lineRule="auto"/>
      </w:pPr>
      <w:r>
        <w:fldChar w:fldCharType="begin"/>
      </w:r>
      <w:r>
        <w:instrText xml:space="preserve"> HYPERLINK \l "_Toc20904" </w:instrText>
      </w:r>
      <w:r>
        <w:fldChar w:fldCharType="separate"/>
      </w:r>
      <w:r>
        <w:rPr>
          <w:rFonts w:hint="eastAsia" w:ascii="微软雅黑" w:hAnsi="微软雅黑" w:eastAsia="微软雅黑"/>
          <w:szCs w:val="28"/>
        </w:rPr>
        <w:t>2.6投标报价</w:t>
      </w:r>
      <w:r>
        <w:tab/>
      </w:r>
      <w:r>
        <w:fldChar w:fldCharType="begin"/>
      </w:r>
      <w:r>
        <w:instrText xml:space="preserve"> PAGEREF _Toc20904 \h </w:instrText>
      </w:r>
      <w:r>
        <w:fldChar w:fldCharType="separate"/>
      </w:r>
      <w:r>
        <w:t>9</w:t>
      </w:r>
      <w:r>
        <w:fldChar w:fldCharType="end"/>
      </w:r>
      <w:r>
        <w:fldChar w:fldCharType="end"/>
      </w:r>
    </w:p>
    <w:p>
      <w:pPr>
        <w:pStyle w:val="12"/>
        <w:tabs>
          <w:tab w:val="right" w:leader="dot" w:pos="9752"/>
        </w:tabs>
        <w:adjustRightInd w:val="0"/>
        <w:snapToGrid w:val="0"/>
        <w:spacing w:line="360" w:lineRule="auto"/>
      </w:pPr>
      <w:r>
        <w:fldChar w:fldCharType="begin"/>
      </w:r>
      <w:r>
        <w:instrText xml:space="preserve"> HYPERLINK \l "_Toc28882" </w:instrText>
      </w:r>
      <w:r>
        <w:fldChar w:fldCharType="separate"/>
      </w:r>
      <w:r>
        <w:rPr>
          <w:rFonts w:hint="eastAsia" w:ascii="微软雅黑" w:hAnsi="微软雅黑" w:eastAsia="微软雅黑"/>
          <w:szCs w:val="28"/>
        </w:rPr>
        <w:t>2.7投标文件的递交</w:t>
      </w:r>
      <w:r>
        <w:tab/>
      </w:r>
      <w:r>
        <w:fldChar w:fldCharType="begin"/>
      </w:r>
      <w:r>
        <w:instrText xml:space="preserve"> PAGEREF _Toc28882 \h </w:instrText>
      </w:r>
      <w:r>
        <w:fldChar w:fldCharType="separate"/>
      </w:r>
      <w:r>
        <w:t>9</w:t>
      </w:r>
      <w:r>
        <w:fldChar w:fldCharType="end"/>
      </w:r>
      <w:r>
        <w:fldChar w:fldCharType="end"/>
      </w:r>
    </w:p>
    <w:p>
      <w:pPr>
        <w:pStyle w:val="12"/>
        <w:tabs>
          <w:tab w:val="right" w:leader="dot" w:pos="9752"/>
        </w:tabs>
        <w:adjustRightInd w:val="0"/>
        <w:snapToGrid w:val="0"/>
        <w:spacing w:line="360" w:lineRule="auto"/>
      </w:pPr>
      <w:r>
        <w:fldChar w:fldCharType="begin"/>
      </w:r>
      <w:r>
        <w:instrText xml:space="preserve"> HYPERLINK \l "_Toc1717" </w:instrText>
      </w:r>
      <w:r>
        <w:fldChar w:fldCharType="separate"/>
      </w:r>
      <w:r>
        <w:rPr>
          <w:rFonts w:hint="eastAsia" w:ascii="微软雅黑" w:hAnsi="微软雅黑" w:eastAsia="微软雅黑"/>
          <w:szCs w:val="28"/>
        </w:rPr>
        <w:t>2.8开标与评标</w:t>
      </w:r>
      <w:r>
        <w:tab/>
      </w:r>
      <w:r>
        <w:fldChar w:fldCharType="begin"/>
      </w:r>
      <w:r>
        <w:instrText xml:space="preserve"> PAGEREF _Toc1717 \h </w:instrText>
      </w:r>
      <w:r>
        <w:fldChar w:fldCharType="separate"/>
      </w:r>
      <w:r>
        <w:t>10</w:t>
      </w:r>
      <w:r>
        <w:fldChar w:fldCharType="end"/>
      </w:r>
      <w:r>
        <w:fldChar w:fldCharType="end"/>
      </w:r>
    </w:p>
    <w:p>
      <w:pPr>
        <w:pStyle w:val="12"/>
        <w:tabs>
          <w:tab w:val="right" w:leader="dot" w:pos="9752"/>
        </w:tabs>
        <w:adjustRightInd w:val="0"/>
        <w:snapToGrid w:val="0"/>
        <w:spacing w:line="360" w:lineRule="auto"/>
      </w:pPr>
      <w:r>
        <w:fldChar w:fldCharType="begin"/>
      </w:r>
      <w:r>
        <w:instrText xml:space="preserve"> HYPERLINK \l "_Toc10007" </w:instrText>
      </w:r>
      <w:r>
        <w:fldChar w:fldCharType="separate"/>
      </w:r>
      <w:r>
        <w:rPr>
          <w:rFonts w:hint="eastAsia" w:ascii="微软雅黑" w:hAnsi="微软雅黑" w:eastAsia="微软雅黑"/>
          <w:szCs w:val="28"/>
        </w:rPr>
        <w:t>2.9授标及签约</w:t>
      </w:r>
      <w:r>
        <w:tab/>
      </w:r>
      <w:r>
        <w:fldChar w:fldCharType="begin"/>
      </w:r>
      <w:r>
        <w:instrText xml:space="preserve"> PAGEREF _Toc10007 \h </w:instrText>
      </w:r>
      <w:r>
        <w:fldChar w:fldCharType="separate"/>
      </w:r>
      <w:r>
        <w:t>11</w:t>
      </w:r>
      <w:r>
        <w:fldChar w:fldCharType="end"/>
      </w:r>
      <w:r>
        <w:fldChar w:fldCharType="end"/>
      </w:r>
    </w:p>
    <w:p>
      <w:pPr>
        <w:pStyle w:val="6"/>
        <w:tabs>
          <w:tab w:val="right" w:leader="dot" w:pos="9752"/>
        </w:tabs>
        <w:adjustRightInd w:val="0"/>
        <w:snapToGrid w:val="0"/>
        <w:spacing w:line="360" w:lineRule="auto"/>
      </w:pPr>
      <w:r>
        <w:fldChar w:fldCharType="begin"/>
      </w:r>
      <w:r>
        <w:instrText xml:space="preserve"> HYPERLINK \l "_Toc11070" </w:instrText>
      </w:r>
      <w:r>
        <w:fldChar w:fldCharType="separate"/>
      </w:r>
      <w:r>
        <w:rPr>
          <w:rFonts w:hint="eastAsia" w:ascii="微软雅黑" w:hAnsi="微软雅黑" w:eastAsia="微软雅黑"/>
        </w:rPr>
        <w:t>2.9.1投标保证金</w:t>
      </w:r>
      <w:r>
        <w:tab/>
      </w:r>
      <w:r>
        <w:fldChar w:fldCharType="begin"/>
      </w:r>
      <w:r>
        <w:instrText xml:space="preserve"> PAGEREF _Toc11070 \h </w:instrText>
      </w:r>
      <w:r>
        <w:fldChar w:fldCharType="separate"/>
      </w:r>
      <w:r>
        <w:t>11</w:t>
      </w:r>
      <w:r>
        <w:fldChar w:fldCharType="end"/>
      </w:r>
      <w:r>
        <w:fldChar w:fldCharType="end"/>
      </w:r>
    </w:p>
    <w:p>
      <w:pPr>
        <w:pStyle w:val="11"/>
        <w:tabs>
          <w:tab w:val="right" w:leader="dot" w:pos="9752"/>
        </w:tabs>
        <w:adjustRightInd w:val="0"/>
        <w:snapToGrid w:val="0"/>
        <w:spacing w:line="360" w:lineRule="auto"/>
      </w:pPr>
      <w:r>
        <w:fldChar w:fldCharType="begin"/>
      </w:r>
      <w:r>
        <w:instrText xml:space="preserve"> HYPERLINK \l "_Toc3223" </w:instrText>
      </w:r>
      <w:r>
        <w:fldChar w:fldCharType="separate"/>
      </w:r>
      <w:r>
        <w:rPr>
          <w:rFonts w:hint="eastAsia" w:ascii="微软雅黑" w:hAnsi="微软雅黑" w:eastAsia="微软雅黑"/>
          <w:szCs w:val="32"/>
        </w:rPr>
        <w:t>3.招标项目</w:t>
      </w:r>
      <w:r>
        <w:rPr>
          <w:rFonts w:ascii="微软雅黑" w:hAnsi="微软雅黑" w:eastAsia="微软雅黑"/>
          <w:szCs w:val="32"/>
        </w:rPr>
        <w:t>要求</w:t>
      </w:r>
      <w:r>
        <w:tab/>
      </w:r>
      <w:r>
        <w:fldChar w:fldCharType="begin"/>
      </w:r>
      <w:r>
        <w:instrText xml:space="preserve"> PAGEREF _Toc3223 \h </w:instrText>
      </w:r>
      <w:r>
        <w:fldChar w:fldCharType="separate"/>
      </w:r>
      <w:r>
        <w:t>12</w:t>
      </w:r>
      <w:r>
        <w:fldChar w:fldCharType="end"/>
      </w:r>
      <w:r>
        <w:fldChar w:fldCharType="end"/>
      </w:r>
    </w:p>
    <w:p>
      <w:pPr>
        <w:pStyle w:val="12"/>
        <w:tabs>
          <w:tab w:val="right" w:leader="dot" w:pos="9752"/>
        </w:tabs>
        <w:adjustRightInd w:val="0"/>
        <w:snapToGrid w:val="0"/>
        <w:spacing w:line="360" w:lineRule="auto"/>
      </w:pPr>
      <w:r>
        <w:fldChar w:fldCharType="begin"/>
      </w:r>
      <w:r>
        <w:instrText xml:space="preserve"> HYPERLINK \l "_Toc1557" </w:instrText>
      </w:r>
      <w:r>
        <w:fldChar w:fldCharType="separate"/>
      </w:r>
      <w:r>
        <w:rPr>
          <w:rFonts w:hint="eastAsia" w:ascii="微软雅黑" w:hAnsi="微软雅黑" w:eastAsia="微软雅黑"/>
          <w:szCs w:val="28"/>
        </w:rPr>
        <w:t>3.1北国先天下容灾调整项目采购简介及目标</w:t>
      </w:r>
      <w:r>
        <w:tab/>
      </w:r>
      <w:r>
        <w:fldChar w:fldCharType="begin"/>
      </w:r>
      <w:r>
        <w:instrText xml:space="preserve"> PAGEREF _Toc1557 \h </w:instrText>
      </w:r>
      <w:r>
        <w:fldChar w:fldCharType="separate"/>
      </w:r>
      <w:r>
        <w:t>12</w:t>
      </w:r>
      <w:r>
        <w:fldChar w:fldCharType="end"/>
      </w:r>
      <w:r>
        <w:fldChar w:fldCharType="end"/>
      </w:r>
    </w:p>
    <w:p>
      <w:pPr>
        <w:pStyle w:val="6"/>
        <w:tabs>
          <w:tab w:val="right" w:leader="dot" w:pos="9752"/>
        </w:tabs>
        <w:adjustRightInd w:val="0"/>
        <w:snapToGrid w:val="0"/>
        <w:spacing w:line="360" w:lineRule="auto"/>
      </w:pPr>
      <w:r>
        <w:fldChar w:fldCharType="begin"/>
      </w:r>
      <w:r>
        <w:instrText xml:space="preserve"> HYPERLINK \l "_Toc19502" </w:instrText>
      </w:r>
      <w:r>
        <w:fldChar w:fldCharType="separate"/>
      </w:r>
      <w:r>
        <w:rPr>
          <w:rFonts w:hint="eastAsia" w:ascii="微软雅黑" w:hAnsi="微软雅黑" w:eastAsia="微软雅黑"/>
        </w:rPr>
        <w:t>3.1.1</w:t>
      </w:r>
      <w:r>
        <w:rPr>
          <w:rFonts w:hint="eastAsia" w:ascii="微软雅黑" w:hAnsi="微软雅黑" w:eastAsia="微软雅黑"/>
          <w:highlight w:val="yellow"/>
        </w:rPr>
        <w:t>北国先天下容灾调整项目</w:t>
      </w:r>
      <w:r>
        <w:rPr>
          <w:rFonts w:hint="eastAsia" w:ascii="微软雅黑" w:hAnsi="微软雅黑" w:eastAsia="微软雅黑"/>
        </w:rPr>
        <w:t>采购简介</w:t>
      </w:r>
      <w:r>
        <w:tab/>
      </w:r>
      <w:r>
        <w:fldChar w:fldCharType="begin"/>
      </w:r>
      <w:r>
        <w:instrText xml:space="preserve"> PAGEREF _Toc19502 \h </w:instrText>
      </w:r>
      <w:r>
        <w:fldChar w:fldCharType="separate"/>
      </w:r>
      <w:r>
        <w:t>12</w:t>
      </w:r>
      <w:r>
        <w:fldChar w:fldCharType="end"/>
      </w:r>
      <w:r>
        <w:fldChar w:fldCharType="end"/>
      </w:r>
    </w:p>
    <w:p>
      <w:pPr>
        <w:pStyle w:val="12"/>
        <w:tabs>
          <w:tab w:val="right" w:leader="dot" w:pos="9752"/>
        </w:tabs>
        <w:adjustRightInd w:val="0"/>
        <w:snapToGrid w:val="0"/>
        <w:spacing w:line="360" w:lineRule="auto"/>
      </w:pPr>
      <w:r>
        <w:fldChar w:fldCharType="begin"/>
      </w:r>
      <w:r>
        <w:instrText xml:space="preserve"> HYPERLINK \l "_Toc148" </w:instrText>
      </w:r>
      <w:r>
        <w:fldChar w:fldCharType="separate"/>
      </w:r>
      <w:r>
        <w:rPr>
          <w:rFonts w:hint="eastAsia" w:ascii="微软雅黑" w:hAnsi="微软雅黑" w:eastAsia="微软雅黑"/>
          <w:szCs w:val="28"/>
        </w:rPr>
        <w:t>3.2招标内容</w:t>
      </w:r>
      <w:r>
        <w:rPr>
          <w:rFonts w:ascii="微软雅黑" w:hAnsi="微软雅黑" w:eastAsia="微软雅黑"/>
          <w:szCs w:val="28"/>
        </w:rPr>
        <w:t>及要求</w:t>
      </w:r>
      <w:r>
        <w:tab/>
      </w:r>
      <w:r>
        <w:fldChar w:fldCharType="begin"/>
      </w:r>
      <w:r>
        <w:instrText xml:space="preserve"> PAGEREF _Toc148 \h </w:instrText>
      </w:r>
      <w:r>
        <w:fldChar w:fldCharType="separate"/>
      </w:r>
      <w:r>
        <w:t>12</w:t>
      </w:r>
      <w:r>
        <w:fldChar w:fldCharType="end"/>
      </w:r>
      <w:r>
        <w:fldChar w:fldCharType="end"/>
      </w:r>
    </w:p>
    <w:p>
      <w:pPr>
        <w:pStyle w:val="6"/>
        <w:tabs>
          <w:tab w:val="right" w:leader="dot" w:pos="9752"/>
        </w:tabs>
        <w:adjustRightInd w:val="0"/>
        <w:snapToGrid w:val="0"/>
        <w:spacing w:line="360" w:lineRule="auto"/>
      </w:pPr>
      <w:r>
        <w:fldChar w:fldCharType="begin"/>
      </w:r>
      <w:r>
        <w:instrText xml:space="preserve"> HYPERLINK \l "_Toc13311" </w:instrText>
      </w:r>
      <w:r>
        <w:fldChar w:fldCharType="separate"/>
      </w:r>
      <w:r>
        <w:rPr>
          <w:rFonts w:hint="eastAsia" w:ascii="微软雅黑" w:hAnsi="微软雅黑" w:eastAsia="微软雅黑"/>
        </w:rPr>
        <w:t>3.2.1功能需求</w:t>
      </w:r>
      <w:r>
        <w:tab/>
      </w:r>
      <w:r>
        <w:fldChar w:fldCharType="begin"/>
      </w:r>
      <w:r>
        <w:instrText xml:space="preserve"> PAGEREF _Toc13311 \h </w:instrText>
      </w:r>
      <w:r>
        <w:fldChar w:fldCharType="separate"/>
      </w:r>
      <w:r>
        <w:t>12</w:t>
      </w:r>
      <w:r>
        <w:fldChar w:fldCharType="end"/>
      </w:r>
      <w:r>
        <w:fldChar w:fldCharType="end"/>
      </w:r>
    </w:p>
    <w:p>
      <w:pPr>
        <w:pStyle w:val="6"/>
        <w:tabs>
          <w:tab w:val="right" w:leader="dot" w:pos="9752"/>
        </w:tabs>
        <w:adjustRightInd w:val="0"/>
        <w:snapToGrid w:val="0"/>
        <w:spacing w:line="360" w:lineRule="auto"/>
      </w:pPr>
      <w:r>
        <w:fldChar w:fldCharType="begin"/>
      </w:r>
      <w:r>
        <w:instrText xml:space="preserve"> HYPERLINK \l "_Toc14811" </w:instrText>
      </w:r>
      <w:r>
        <w:fldChar w:fldCharType="separate"/>
      </w:r>
      <w:r>
        <w:rPr>
          <w:rFonts w:hint="eastAsia" w:ascii="微软雅黑" w:hAnsi="微软雅黑" w:eastAsia="微软雅黑"/>
          <w:szCs w:val="21"/>
        </w:rPr>
        <w:t>实施要求：</w:t>
      </w:r>
      <w:r>
        <w:tab/>
      </w:r>
      <w:r>
        <w:fldChar w:fldCharType="begin"/>
      </w:r>
      <w:r>
        <w:instrText xml:space="preserve"> PAGEREF _Toc14811 \h </w:instrText>
      </w:r>
      <w:r>
        <w:fldChar w:fldCharType="separate"/>
      </w:r>
      <w:r>
        <w:t>13</w:t>
      </w:r>
      <w:r>
        <w:fldChar w:fldCharType="end"/>
      </w:r>
      <w:r>
        <w:fldChar w:fldCharType="end"/>
      </w:r>
    </w:p>
    <w:p>
      <w:pPr>
        <w:pStyle w:val="6"/>
        <w:tabs>
          <w:tab w:val="right" w:leader="dot" w:pos="9752"/>
        </w:tabs>
        <w:adjustRightInd w:val="0"/>
        <w:snapToGrid w:val="0"/>
        <w:spacing w:line="360" w:lineRule="auto"/>
      </w:pPr>
      <w:r>
        <w:fldChar w:fldCharType="begin"/>
      </w:r>
      <w:r>
        <w:instrText xml:space="preserve"> HYPERLINK \l "_Toc21024" </w:instrText>
      </w:r>
      <w:r>
        <w:fldChar w:fldCharType="separate"/>
      </w:r>
      <w:r>
        <w:rPr>
          <w:rFonts w:hint="eastAsia" w:ascii="微软雅黑" w:hAnsi="微软雅黑" w:eastAsia="微软雅黑"/>
        </w:rPr>
        <w:t>3.2.2技术要求及服务要求（偏离表）</w:t>
      </w:r>
      <w:r>
        <w:tab/>
      </w:r>
      <w:r>
        <w:fldChar w:fldCharType="begin"/>
      </w:r>
      <w:r>
        <w:instrText xml:space="preserve"> PAGEREF _Toc21024 \h </w:instrText>
      </w:r>
      <w:r>
        <w:fldChar w:fldCharType="separate"/>
      </w:r>
      <w:r>
        <w:t>13</w:t>
      </w:r>
      <w:r>
        <w:fldChar w:fldCharType="end"/>
      </w:r>
      <w:r>
        <w:fldChar w:fldCharType="end"/>
      </w:r>
    </w:p>
    <w:p>
      <w:pPr>
        <w:pStyle w:val="11"/>
        <w:tabs>
          <w:tab w:val="right" w:leader="dot" w:pos="9752"/>
        </w:tabs>
        <w:adjustRightInd w:val="0"/>
        <w:snapToGrid w:val="0"/>
        <w:spacing w:line="360" w:lineRule="auto"/>
      </w:pPr>
      <w:r>
        <w:fldChar w:fldCharType="begin"/>
      </w:r>
      <w:r>
        <w:instrText xml:space="preserve"> HYPERLINK \l "_Toc11571" </w:instrText>
      </w:r>
      <w:r>
        <w:fldChar w:fldCharType="separate"/>
      </w:r>
      <w:r>
        <w:rPr>
          <w:rFonts w:hint="eastAsia" w:ascii="微软雅黑" w:hAnsi="微软雅黑" w:eastAsia="微软雅黑"/>
          <w:szCs w:val="32"/>
        </w:rPr>
        <w:t>4.评标标准</w:t>
      </w:r>
      <w:r>
        <w:tab/>
      </w:r>
      <w:r>
        <w:fldChar w:fldCharType="begin"/>
      </w:r>
      <w:r>
        <w:instrText xml:space="preserve"> PAGEREF _Toc11571 \h </w:instrText>
      </w:r>
      <w:r>
        <w:fldChar w:fldCharType="separate"/>
      </w:r>
      <w:r>
        <w:t>14</w:t>
      </w:r>
      <w:r>
        <w:fldChar w:fldCharType="end"/>
      </w:r>
      <w:r>
        <w:fldChar w:fldCharType="end"/>
      </w:r>
    </w:p>
    <w:p>
      <w:pPr>
        <w:pStyle w:val="12"/>
        <w:tabs>
          <w:tab w:val="right" w:leader="dot" w:pos="9752"/>
        </w:tabs>
        <w:adjustRightInd w:val="0"/>
        <w:snapToGrid w:val="0"/>
        <w:spacing w:line="360" w:lineRule="auto"/>
      </w:pPr>
      <w:r>
        <w:fldChar w:fldCharType="begin"/>
      </w:r>
      <w:r>
        <w:instrText xml:space="preserve"> HYPERLINK \l "_Toc3073" </w:instrText>
      </w:r>
      <w:r>
        <w:fldChar w:fldCharType="separate"/>
      </w:r>
      <w:r>
        <w:rPr>
          <w:rFonts w:hint="eastAsia" w:ascii="微软雅黑" w:hAnsi="微软雅黑" w:eastAsia="微软雅黑"/>
          <w:szCs w:val="28"/>
        </w:rPr>
        <w:t>4.1评标标准</w:t>
      </w:r>
      <w:r>
        <w:tab/>
      </w:r>
      <w:r>
        <w:fldChar w:fldCharType="begin"/>
      </w:r>
      <w:r>
        <w:instrText xml:space="preserve"> PAGEREF _Toc3073 \h </w:instrText>
      </w:r>
      <w:r>
        <w:fldChar w:fldCharType="separate"/>
      </w:r>
      <w:r>
        <w:t>14</w:t>
      </w:r>
      <w:r>
        <w:fldChar w:fldCharType="end"/>
      </w:r>
      <w:r>
        <w:fldChar w:fldCharType="end"/>
      </w:r>
    </w:p>
    <w:p>
      <w:pPr>
        <w:pStyle w:val="12"/>
        <w:tabs>
          <w:tab w:val="right" w:leader="dot" w:pos="9752"/>
        </w:tabs>
        <w:adjustRightInd w:val="0"/>
        <w:snapToGrid w:val="0"/>
        <w:spacing w:line="360" w:lineRule="auto"/>
      </w:pPr>
      <w:r>
        <w:fldChar w:fldCharType="begin"/>
      </w:r>
      <w:r>
        <w:instrText xml:space="preserve"> HYPERLINK \l "_Toc19573" </w:instrText>
      </w:r>
      <w:r>
        <w:fldChar w:fldCharType="separate"/>
      </w:r>
      <w:r>
        <w:rPr>
          <w:rFonts w:hint="eastAsia" w:ascii="微软雅黑" w:hAnsi="微软雅黑" w:eastAsia="微软雅黑"/>
          <w:szCs w:val="28"/>
        </w:rPr>
        <w:t>4</w:t>
      </w:r>
      <w:r>
        <w:rPr>
          <w:rFonts w:ascii="微软雅黑" w:hAnsi="微软雅黑" w:eastAsia="微软雅黑"/>
          <w:szCs w:val="28"/>
        </w:rPr>
        <w:t>.2综合评分明细表</w:t>
      </w:r>
      <w:r>
        <w:tab/>
      </w:r>
      <w:r>
        <w:fldChar w:fldCharType="begin"/>
      </w:r>
      <w:r>
        <w:instrText xml:space="preserve"> PAGEREF _Toc19573 \h </w:instrText>
      </w:r>
      <w:r>
        <w:fldChar w:fldCharType="separate"/>
      </w:r>
      <w:r>
        <w:t>16</w:t>
      </w:r>
      <w:r>
        <w:fldChar w:fldCharType="end"/>
      </w:r>
      <w:r>
        <w:fldChar w:fldCharType="end"/>
      </w:r>
    </w:p>
    <w:p>
      <w:pPr>
        <w:pStyle w:val="11"/>
        <w:tabs>
          <w:tab w:val="right" w:leader="dot" w:pos="9752"/>
        </w:tabs>
        <w:adjustRightInd w:val="0"/>
        <w:snapToGrid w:val="0"/>
        <w:spacing w:line="360" w:lineRule="auto"/>
      </w:pPr>
      <w:r>
        <w:fldChar w:fldCharType="begin"/>
      </w:r>
      <w:r>
        <w:instrText xml:space="preserve"> HYPERLINK \l "_Toc11700" </w:instrText>
      </w:r>
      <w:r>
        <w:fldChar w:fldCharType="separate"/>
      </w:r>
      <w:r>
        <w:rPr>
          <w:rFonts w:ascii="微软雅黑" w:hAnsi="微软雅黑" w:eastAsia="微软雅黑"/>
          <w:szCs w:val="32"/>
        </w:rPr>
        <w:t>5</w:t>
      </w:r>
      <w:r>
        <w:rPr>
          <w:rFonts w:hint="eastAsia" w:ascii="微软雅黑" w:hAnsi="微软雅黑" w:eastAsia="微软雅黑"/>
          <w:szCs w:val="32"/>
        </w:rPr>
        <w:t>.响应要求及文件格式</w:t>
      </w:r>
      <w:r>
        <w:tab/>
      </w:r>
      <w:r>
        <w:fldChar w:fldCharType="begin"/>
      </w:r>
      <w:r>
        <w:instrText xml:space="preserve"> PAGEREF _Toc11700 \h </w:instrText>
      </w:r>
      <w:r>
        <w:fldChar w:fldCharType="separate"/>
      </w:r>
      <w:r>
        <w:t>20</w:t>
      </w:r>
      <w:r>
        <w:fldChar w:fldCharType="end"/>
      </w:r>
      <w:r>
        <w:fldChar w:fldCharType="end"/>
      </w:r>
    </w:p>
    <w:p>
      <w:pPr>
        <w:pStyle w:val="12"/>
        <w:tabs>
          <w:tab w:val="right" w:leader="dot" w:pos="9752"/>
        </w:tabs>
        <w:adjustRightInd w:val="0"/>
        <w:snapToGrid w:val="0"/>
        <w:spacing w:line="360" w:lineRule="auto"/>
      </w:pPr>
      <w:r>
        <w:fldChar w:fldCharType="begin"/>
      </w:r>
      <w:r>
        <w:instrText xml:space="preserve"> HYPERLINK \l "_Toc13976" </w:instrText>
      </w:r>
      <w:r>
        <w:fldChar w:fldCharType="separate"/>
      </w:r>
      <w:r>
        <w:rPr>
          <w:rFonts w:hint="eastAsia" w:ascii="微软雅黑" w:hAnsi="微软雅黑" w:eastAsia="微软雅黑"/>
          <w:szCs w:val="28"/>
        </w:rPr>
        <w:t>5.1响应要求</w:t>
      </w:r>
      <w:r>
        <w:tab/>
      </w:r>
      <w:r>
        <w:fldChar w:fldCharType="begin"/>
      </w:r>
      <w:r>
        <w:instrText xml:space="preserve"> PAGEREF _Toc13976 \h </w:instrText>
      </w:r>
      <w:r>
        <w:fldChar w:fldCharType="separate"/>
      </w:r>
      <w:r>
        <w:t>20</w:t>
      </w:r>
      <w:r>
        <w:fldChar w:fldCharType="end"/>
      </w:r>
      <w:r>
        <w:fldChar w:fldCharType="end"/>
      </w:r>
    </w:p>
    <w:p>
      <w:pPr>
        <w:pStyle w:val="6"/>
        <w:tabs>
          <w:tab w:val="right" w:leader="dot" w:pos="9752"/>
        </w:tabs>
        <w:adjustRightInd w:val="0"/>
        <w:snapToGrid w:val="0"/>
        <w:spacing w:line="360" w:lineRule="auto"/>
      </w:pPr>
      <w:r>
        <w:fldChar w:fldCharType="begin"/>
      </w:r>
      <w:r>
        <w:instrText xml:space="preserve"> HYPERLINK \l "_Toc6329" </w:instrText>
      </w:r>
      <w:r>
        <w:fldChar w:fldCharType="separate"/>
      </w:r>
      <w:r>
        <w:rPr>
          <w:rFonts w:hint="eastAsia" w:ascii="微软雅黑" w:hAnsi="微软雅黑" w:eastAsia="微软雅黑"/>
        </w:rPr>
        <w:t>5.1.1实施工期</w:t>
      </w:r>
      <w:r>
        <w:tab/>
      </w:r>
      <w:r>
        <w:fldChar w:fldCharType="begin"/>
      </w:r>
      <w:r>
        <w:instrText xml:space="preserve"> PAGEREF _Toc6329 \h </w:instrText>
      </w:r>
      <w:r>
        <w:fldChar w:fldCharType="separate"/>
      </w:r>
      <w:r>
        <w:t>20</w:t>
      </w:r>
      <w:r>
        <w:fldChar w:fldCharType="end"/>
      </w:r>
      <w:r>
        <w:fldChar w:fldCharType="end"/>
      </w:r>
    </w:p>
    <w:p>
      <w:pPr>
        <w:pStyle w:val="6"/>
        <w:tabs>
          <w:tab w:val="right" w:leader="dot" w:pos="9752"/>
        </w:tabs>
        <w:adjustRightInd w:val="0"/>
        <w:snapToGrid w:val="0"/>
        <w:spacing w:line="360" w:lineRule="auto"/>
      </w:pPr>
      <w:r>
        <w:fldChar w:fldCharType="begin"/>
      </w:r>
      <w:r>
        <w:instrText xml:space="preserve"> HYPERLINK \l "_Toc13277" </w:instrText>
      </w:r>
      <w:r>
        <w:fldChar w:fldCharType="separate"/>
      </w:r>
      <w:r>
        <w:rPr>
          <w:rFonts w:hint="eastAsia" w:ascii="微软雅黑" w:hAnsi="微软雅黑" w:eastAsia="微软雅黑"/>
        </w:rPr>
        <w:t>5.1.2实施要求</w:t>
      </w:r>
      <w:r>
        <w:tab/>
      </w:r>
      <w:r>
        <w:fldChar w:fldCharType="begin"/>
      </w:r>
      <w:r>
        <w:instrText xml:space="preserve"> PAGEREF _Toc13277 \h </w:instrText>
      </w:r>
      <w:r>
        <w:fldChar w:fldCharType="separate"/>
      </w:r>
      <w:r>
        <w:t>20</w:t>
      </w:r>
      <w:r>
        <w:fldChar w:fldCharType="end"/>
      </w:r>
      <w:r>
        <w:fldChar w:fldCharType="end"/>
      </w:r>
    </w:p>
    <w:p>
      <w:pPr>
        <w:pStyle w:val="12"/>
        <w:tabs>
          <w:tab w:val="right" w:leader="dot" w:pos="9752"/>
        </w:tabs>
        <w:adjustRightInd w:val="0"/>
        <w:snapToGrid w:val="0"/>
        <w:spacing w:line="360" w:lineRule="auto"/>
      </w:pPr>
      <w:r>
        <w:fldChar w:fldCharType="begin"/>
      </w:r>
      <w:r>
        <w:instrText xml:space="preserve"> HYPERLINK \l "_Toc13831" </w:instrText>
      </w:r>
      <w:r>
        <w:fldChar w:fldCharType="separate"/>
      </w:r>
      <w:r>
        <w:rPr>
          <w:rFonts w:hint="eastAsia" w:ascii="微软雅黑" w:hAnsi="微软雅黑" w:eastAsia="微软雅黑"/>
        </w:rPr>
        <w:t>5.2</w:t>
      </w:r>
      <w:r>
        <w:rPr>
          <w:rFonts w:hint="eastAsia" w:ascii="微软雅黑" w:hAnsi="微软雅黑" w:eastAsia="微软雅黑"/>
          <w:kern w:val="0"/>
        </w:rPr>
        <w:t>响应文件格式</w:t>
      </w:r>
      <w:r>
        <w:tab/>
      </w:r>
      <w:r>
        <w:fldChar w:fldCharType="begin"/>
      </w:r>
      <w:r>
        <w:instrText xml:space="preserve"> PAGEREF _Toc13831 \h </w:instrText>
      </w:r>
      <w:r>
        <w:fldChar w:fldCharType="separate"/>
      </w:r>
      <w:r>
        <w:t>21</w:t>
      </w:r>
      <w:r>
        <w:fldChar w:fldCharType="end"/>
      </w:r>
      <w:r>
        <w:fldChar w:fldCharType="end"/>
      </w:r>
    </w:p>
    <w:p>
      <w:pPr>
        <w:pStyle w:val="6"/>
        <w:tabs>
          <w:tab w:val="right" w:leader="dot" w:pos="9752"/>
        </w:tabs>
        <w:adjustRightInd w:val="0"/>
        <w:snapToGrid w:val="0"/>
        <w:spacing w:line="360" w:lineRule="auto"/>
      </w:pPr>
      <w:r>
        <w:fldChar w:fldCharType="begin"/>
      </w:r>
      <w:r>
        <w:instrText xml:space="preserve"> HYPERLINK \l "_Toc11316" </w:instrText>
      </w:r>
      <w:r>
        <w:fldChar w:fldCharType="separate"/>
      </w:r>
      <w:r>
        <w:rPr>
          <w:rFonts w:hint="eastAsia" w:ascii="微软雅黑" w:hAnsi="微软雅黑" w:eastAsia="微软雅黑"/>
          <w:szCs w:val="28"/>
        </w:rPr>
        <w:t>5.2.1报价要求说明</w:t>
      </w:r>
      <w:r>
        <w:tab/>
      </w:r>
      <w:r>
        <w:fldChar w:fldCharType="begin"/>
      </w:r>
      <w:r>
        <w:instrText xml:space="preserve"> PAGEREF _Toc11316 \h </w:instrText>
      </w:r>
      <w:r>
        <w:fldChar w:fldCharType="separate"/>
      </w:r>
      <w:r>
        <w:t>21</w:t>
      </w:r>
      <w:r>
        <w:fldChar w:fldCharType="end"/>
      </w:r>
      <w:r>
        <w:fldChar w:fldCharType="end"/>
      </w:r>
    </w:p>
    <w:p>
      <w:pPr>
        <w:pStyle w:val="6"/>
        <w:tabs>
          <w:tab w:val="right" w:leader="dot" w:pos="9752"/>
        </w:tabs>
        <w:adjustRightInd w:val="0"/>
        <w:snapToGrid w:val="0"/>
        <w:spacing w:line="360" w:lineRule="auto"/>
      </w:pPr>
      <w:r>
        <w:fldChar w:fldCharType="begin"/>
      </w:r>
      <w:r>
        <w:instrText xml:space="preserve"> HYPERLINK \l "_Toc11614" </w:instrText>
      </w:r>
      <w:r>
        <w:fldChar w:fldCharType="separate"/>
      </w:r>
      <w:r>
        <w:rPr>
          <w:rFonts w:hint="eastAsia" w:ascii="微软雅黑" w:hAnsi="微软雅黑" w:eastAsia="微软雅黑"/>
          <w:szCs w:val="28"/>
        </w:rPr>
        <w:t>5.2.2投标函（规范</w:t>
      </w:r>
      <w:r>
        <w:rPr>
          <w:rFonts w:ascii="微软雅黑" w:hAnsi="微软雅黑" w:eastAsia="微软雅黑"/>
          <w:szCs w:val="28"/>
        </w:rPr>
        <w:t>）</w:t>
      </w:r>
      <w:r>
        <w:tab/>
      </w:r>
      <w:r>
        <w:fldChar w:fldCharType="begin"/>
      </w:r>
      <w:r>
        <w:instrText xml:space="preserve"> PAGEREF _Toc11614 \h </w:instrText>
      </w:r>
      <w:r>
        <w:fldChar w:fldCharType="separate"/>
      </w:r>
      <w:r>
        <w:t>22</w:t>
      </w:r>
      <w:r>
        <w:fldChar w:fldCharType="end"/>
      </w:r>
      <w:r>
        <w:fldChar w:fldCharType="end"/>
      </w:r>
    </w:p>
    <w:p>
      <w:pPr>
        <w:pStyle w:val="6"/>
        <w:tabs>
          <w:tab w:val="right" w:leader="dot" w:pos="9752"/>
        </w:tabs>
        <w:adjustRightInd w:val="0"/>
        <w:snapToGrid w:val="0"/>
        <w:spacing w:line="360" w:lineRule="auto"/>
      </w:pPr>
      <w:r>
        <w:fldChar w:fldCharType="begin"/>
      </w:r>
      <w:r>
        <w:instrText xml:space="preserve"> HYPERLINK \l "_Toc12737" </w:instrText>
      </w:r>
      <w:r>
        <w:fldChar w:fldCharType="separate"/>
      </w:r>
      <w:r>
        <w:rPr>
          <w:rFonts w:hint="eastAsia" w:ascii="微软雅黑" w:hAnsi="微软雅黑" w:eastAsia="微软雅黑"/>
          <w:szCs w:val="28"/>
        </w:rPr>
        <w:t>5.2.3承诺书（规范</w:t>
      </w:r>
      <w:r>
        <w:rPr>
          <w:rFonts w:ascii="微软雅黑" w:hAnsi="微软雅黑" w:eastAsia="微软雅黑"/>
          <w:szCs w:val="28"/>
        </w:rPr>
        <w:t>）</w:t>
      </w:r>
      <w:r>
        <w:tab/>
      </w:r>
      <w:r>
        <w:fldChar w:fldCharType="begin"/>
      </w:r>
      <w:r>
        <w:instrText xml:space="preserve"> PAGEREF _Toc12737 \h </w:instrText>
      </w:r>
      <w:r>
        <w:fldChar w:fldCharType="separate"/>
      </w:r>
      <w:r>
        <w:t>23</w:t>
      </w:r>
      <w:r>
        <w:fldChar w:fldCharType="end"/>
      </w:r>
      <w:r>
        <w:fldChar w:fldCharType="end"/>
      </w:r>
    </w:p>
    <w:p>
      <w:pPr>
        <w:pStyle w:val="6"/>
        <w:tabs>
          <w:tab w:val="right" w:leader="dot" w:pos="9752"/>
        </w:tabs>
        <w:adjustRightInd w:val="0"/>
        <w:snapToGrid w:val="0"/>
        <w:spacing w:line="360" w:lineRule="auto"/>
      </w:pPr>
      <w:r>
        <w:fldChar w:fldCharType="begin"/>
      </w:r>
      <w:r>
        <w:instrText xml:space="preserve"> HYPERLINK \l "_Toc13350" </w:instrText>
      </w:r>
      <w:r>
        <w:fldChar w:fldCharType="separate"/>
      </w:r>
      <w:r>
        <w:rPr>
          <w:rFonts w:hint="eastAsia" w:ascii="微软雅黑" w:hAnsi="微软雅黑" w:eastAsia="微软雅黑"/>
          <w:szCs w:val="28"/>
        </w:rPr>
        <w:t>5.2.4投标人企业信息和联络方式一览表（规范</w:t>
      </w:r>
      <w:r>
        <w:rPr>
          <w:rFonts w:ascii="微软雅黑" w:hAnsi="微软雅黑" w:eastAsia="微软雅黑"/>
          <w:szCs w:val="28"/>
        </w:rPr>
        <w:t>）</w:t>
      </w:r>
      <w:r>
        <w:tab/>
      </w:r>
      <w:r>
        <w:fldChar w:fldCharType="begin"/>
      </w:r>
      <w:r>
        <w:instrText xml:space="preserve"> PAGEREF _Toc13350 \h </w:instrText>
      </w:r>
      <w:r>
        <w:fldChar w:fldCharType="separate"/>
      </w:r>
      <w:r>
        <w:t>24</w:t>
      </w:r>
      <w:r>
        <w:fldChar w:fldCharType="end"/>
      </w:r>
      <w:r>
        <w:fldChar w:fldCharType="end"/>
      </w:r>
    </w:p>
    <w:p>
      <w:pPr>
        <w:pStyle w:val="6"/>
        <w:tabs>
          <w:tab w:val="right" w:leader="dot" w:pos="9752"/>
        </w:tabs>
        <w:adjustRightInd w:val="0"/>
        <w:snapToGrid w:val="0"/>
        <w:spacing w:line="360" w:lineRule="auto"/>
      </w:pPr>
      <w:r>
        <w:fldChar w:fldCharType="begin"/>
      </w:r>
      <w:r>
        <w:instrText xml:space="preserve"> HYPERLINK \l "_Toc18615" </w:instrText>
      </w:r>
      <w:r>
        <w:fldChar w:fldCharType="separate"/>
      </w:r>
      <w:r>
        <w:rPr>
          <w:rFonts w:hint="eastAsia" w:ascii="微软雅黑" w:hAnsi="微软雅黑" w:eastAsia="微软雅黑"/>
          <w:szCs w:val="28"/>
        </w:rPr>
        <w:t>5.2.5法定代表人身份</w:t>
      </w:r>
      <w:r>
        <w:rPr>
          <w:rFonts w:ascii="微软雅黑" w:hAnsi="微软雅黑" w:eastAsia="微软雅黑"/>
          <w:szCs w:val="28"/>
        </w:rPr>
        <w:t>证明书</w:t>
      </w:r>
      <w:r>
        <w:rPr>
          <w:rFonts w:hint="eastAsia" w:ascii="微软雅黑" w:hAnsi="微软雅黑" w:eastAsia="微软雅黑"/>
          <w:szCs w:val="28"/>
        </w:rPr>
        <w:t>（规范</w:t>
      </w:r>
      <w:r>
        <w:rPr>
          <w:rFonts w:ascii="微软雅黑" w:hAnsi="微软雅黑" w:eastAsia="微软雅黑"/>
          <w:szCs w:val="28"/>
        </w:rPr>
        <w:t>）</w:t>
      </w:r>
      <w:r>
        <w:tab/>
      </w:r>
      <w:r>
        <w:fldChar w:fldCharType="begin"/>
      </w:r>
      <w:r>
        <w:instrText xml:space="preserve"> PAGEREF _Toc18615 \h </w:instrText>
      </w:r>
      <w:r>
        <w:fldChar w:fldCharType="separate"/>
      </w:r>
      <w:r>
        <w:t>25</w:t>
      </w:r>
      <w:r>
        <w:fldChar w:fldCharType="end"/>
      </w:r>
      <w:r>
        <w:fldChar w:fldCharType="end"/>
      </w:r>
    </w:p>
    <w:p>
      <w:pPr>
        <w:pStyle w:val="6"/>
        <w:tabs>
          <w:tab w:val="right" w:leader="dot" w:pos="9752"/>
        </w:tabs>
        <w:adjustRightInd w:val="0"/>
        <w:snapToGrid w:val="0"/>
        <w:spacing w:line="360" w:lineRule="auto"/>
      </w:pPr>
      <w:r>
        <w:fldChar w:fldCharType="begin"/>
      </w:r>
      <w:r>
        <w:instrText xml:space="preserve"> HYPERLINK \l "_Toc6260" </w:instrText>
      </w:r>
      <w:r>
        <w:fldChar w:fldCharType="separate"/>
      </w:r>
      <w:r>
        <w:rPr>
          <w:rFonts w:hint="eastAsia" w:ascii="微软雅黑" w:hAnsi="微软雅黑" w:eastAsia="微软雅黑"/>
          <w:szCs w:val="28"/>
        </w:rPr>
        <w:t>5.2.6企业法人及法定代表人授权委托书（规范</w:t>
      </w:r>
      <w:r>
        <w:rPr>
          <w:rFonts w:ascii="微软雅黑" w:hAnsi="微软雅黑" w:eastAsia="微软雅黑"/>
        </w:rPr>
        <w:t>）</w:t>
      </w:r>
      <w:r>
        <w:tab/>
      </w:r>
      <w:r>
        <w:fldChar w:fldCharType="begin"/>
      </w:r>
      <w:r>
        <w:instrText xml:space="preserve"> PAGEREF _Toc6260 \h </w:instrText>
      </w:r>
      <w:r>
        <w:fldChar w:fldCharType="separate"/>
      </w:r>
      <w:r>
        <w:t>26</w:t>
      </w:r>
      <w:r>
        <w:fldChar w:fldCharType="end"/>
      </w:r>
      <w:r>
        <w:fldChar w:fldCharType="end"/>
      </w:r>
    </w:p>
    <w:p>
      <w:pPr>
        <w:pStyle w:val="6"/>
        <w:tabs>
          <w:tab w:val="right" w:leader="dot" w:pos="9752"/>
        </w:tabs>
        <w:adjustRightInd w:val="0"/>
        <w:snapToGrid w:val="0"/>
        <w:spacing w:line="360" w:lineRule="auto"/>
      </w:pPr>
      <w:r>
        <w:fldChar w:fldCharType="begin"/>
      </w:r>
      <w:r>
        <w:instrText xml:space="preserve"> HYPERLINK \l "_Toc7906" </w:instrText>
      </w:r>
      <w:r>
        <w:fldChar w:fldCharType="separate"/>
      </w:r>
      <w:r>
        <w:rPr>
          <w:rFonts w:hint="eastAsia" w:ascii="微软雅黑" w:hAnsi="微软雅黑" w:eastAsia="微软雅黑"/>
          <w:szCs w:val="28"/>
        </w:rPr>
        <w:t>5.2.7</w:t>
      </w:r>
      <w:r>
        <w:rPr>
          <w:rFonts w:ascii="微软雅黑" w:hAnsi="微软雅黑" w:eastAsia="微软雅黑"/>
          <w:szCs w:val="28"/>
        </w:rPr>
        <w:t>廉政须知回执</w:t>
      </w:r>
      <w:r>
        <w:rPr>
          <w:rFonts w:hint="eastAsia" w:ascii="微软雅黑" w:hAnsi="微软雅黑" w:eastAsia="微软雅黑"/>
          <w:szCs w:val="28"/>
        </w:rPr>
        <w:t>（规范</w:t>
      </w:r>
      <w:r>
        <w:rPr>
          <w:rFonts w:ascii="微软雅黑" w:hAnsi="微软雅黑" w:eastAsia="微软雅黑"/>
          <w:szCs w:val="28"/>
        </w:rPr>
        <w:t>）</w:t>
      </w:r>
      <w:r>
        <w:tab/>
      </w:r>
      <w:r>
        <w:fldChar w:fldCharType="begin"/>
      </w:r>
      <w:r>
        <w:instrText xml:space="preserve"> PAGEREF _Toc7906 \h </w:instrText>
      </w:r>
      <w:r>
        <w:fldChar w:fldCharType="separate"/>
      </w:r>
      <w:r>
        <w:t>27</w:t>
      </w:r>
      <w:r>
        <w:fldChar w:fldCharType="end"/>
      </w:r>
      <w:r>
        <w:fldChar w:fldCharType="end"/>
      </w:r>
    </w:p>
    <w:p>
      <w:pPr>
        <w:pStyle w:val="6"/>
        <w:tabs>
          <w:tab w:val="right" w:leader="dot" w:pos="9752"/>
        </w:tabs>
        <w:adjustRightInd w:val="0"/>
        <w:snapToGrid w:val="0"/>
        <w:spacing w:line="360" w:lineRule="auto"/>
      </w:pPr>
      <w:r>
        <w:fldChar w:fldCharType="begin"/>
      </w:r>
      <w:r>
        <w:instrText xml:space="preserve"> HYPERLINK \l "_Toc4316" </w:instrText>
      </w:r>
      <w:r>
        <w:fldChar w:fldCharType="separate"/>
      </w:r>
      <w:r>
        <w:rPr>
          <w:rFonts w:hint="eastAsia" w:ascii="微软雅黑" w:hAnsi="微软雅黑" w:eastAsia="微软雅黑"/>
          <w:szCs w:val="28"/>
          <w:highlight w:val="yellow"/>
        </w:rPr>
        <w:t>5.2.8分项价格表（规范</w:t>
      </w:r>
      <w:r>
        <w:rPr>
          <w:rFonts w:ascii="微软雅黑" w:hAnsi="微软雅黑" w:eastAsia="微软雅黑"/>
          <w:szCs w:val="28"/>
          <w:highlight w:val="yellow"/>
        </w:rPr>
        <w:t>）</w:t>
      </w:r>
      <w:r>
        <w:tab/>
      </w:r>
      <w:r>
        <w:fldChar w:fldCharType="begin"/>
      </w:r>
      <w:r>
        <w:instrText xml:space="preserve"> PAGEREF _Toc4316 \h </w:instrText>
      </w:r>
      <w:r>
        <w:fldChar w:fldCharType="separate"/>
      </w:r>
      <w:r>
        <w:t>28</w:t>
      </w:r>
      <w:r>
        <w:fldChar w:fldCharType="end"/>
      </w:r>
      <w:r>
        <w:fldChar w:fldCharType="end"/>
      </w:r>
    </w:p>
    <w:p>
      <w:r>
        <w:rPr>
          <w:rFonts w:ascii="黑体" w:hAnsi="黑体" w:eastAsia="黑体"/>
        </w:rPr>
        <w:fldChar w:fldCharType="end"/>
      </w:r>
    </w:p>
    <w:p/>
    <w:p/>
    <w:p>
      <w:pPr>
        <w:rPr>
          <w:rFonts w:ascii="微软雅黑" w:hAnsi="微软雅黑" w:eastAsia="微软雅黑"/>
          <w:sz w:val="30"/>
          <w:szCs w:val="30"/>
        </w:rPr>
      </w:pPr>
      <w:bookmarkStart w:id="0" w:name="_Toc10293"/>
      <w:bookmarkStart w:id="1" w:name="_Toc527105158"/>
      <w:bookmarkStart w:id="2" w:name="_Toc526784147"/>
      <w:r>
        <w:rPr>
          <w:rFonts w:hint="eastAsia" w:ascii="微软雅黑" w:hAnsi="微软雅黑" w:eastAsia="微软雅黑"/>
          <w:sz w:val="30"/>
          <w:szCs w:val="30"/>
        </w:rPr>
        <w:br w:type="page"/>
      </w:r>
    </w:p>
    <w:p>
      <w:pPr>
        <w:pStyle w:val="3"/>
        <w:rPr>
          <w:rFonts w:ascii="微软雅黑" w:hAnsi="微软雅黑" w:eastAsia="微软雅黑"/>
          <w:sz w:val="30"/>
          <w:szCs w:val="30"/>
        </w:rPr>
      </w:pPr>
      <w:r>
        <w:rPr>
          <w:rFonts w:hint="eastAsia" w:ascii="微软雅黑" w:hAnsi="微软雅黑" w:eastAsia="微软雅黑"/>
          <w:sz w:val="30"/>
          <w:szCs w:val="30"/>
        </w:rPr>
        <w:t>1.投标</w:t>
      </w:r>
      <w:r>
        <w:rPr>
          <w:rFonts w:ascii="微软雅黑" w:hAnsi="微软雅黑" w:eastAsia="微软雅黑"/>
          <w:sz w:val="30"/>
          <w:szCs w:val="30"/>
        </w:rPr>
        <w:t>邀请</w:t>
      </w:r>
      <w:bookmarkEnd w:id="0"/>
      <w:bookmarkEnd w:id="1"/>
      <w:bookmarkEnd w:id="2"/>
    </w:p>
    <w:p>
      <w:pPr>
        <w:tabs>
          <w:tab w:val="left" w:pos="1500"/>
        </w:tabs>
        <w:adjustRightInd w:val="0"/>
        <w:snapToGrid w:val="0"/>
        <w:spacing w:after="240" w:line="276" w:lineRule="auto"/>
        <w:jc w:val="center"/>
        <w:rPr>
          <w:rFonts w:ascii="微软雅黑" w:hAnsi="微软雅黑" w:eastAsia="微软雅黑"/>
          <w:b/>
          <w:iCs/>
          <w:color w:val="000000"/>
          <w:kern w:val="0"/>
          <w:sz w:val="32"/>
          <w:szCs w:val="32"/>
        </w:rPr>
      </w:pPr>
      <w:r>
        <w:rPr>
          <w:rFonts w:hint="eastAsia" w:ascii="微软雅黑" w:hAnsi="微软雅黑" w:eastAsia="微软雅黑"/>
          <w:b/>
          <w:iCs/>
          <w:color w:val="000000"/>
          <w:kern w:val="0"/>
          <w:sz w:val="32"/>
          <w:szCs w:val="32"/>
        </w:rPr>
        <w:t>投标</w:t>
      </w:r>
      <w:r>
        <w:rPr>
          <w:rFonts w:ascii="微软雅黑" w:hAnsi="微软雅黑" w:eastAsia="微软雅黑"/>
          <w:b/>
          <w:iCs/>
          <w:color w:val="000000"/>
          <w:kern w:val="0"/>
          <w:sz w:val="32"/>
          <w:szCs w:val="32"/>
        </w:rPr>
        <w:t>邀请函</w:t>
      </w:r>
    </w:p>
    <w:p>
      <w:pPr>
        <w:tabs>
          <w:tab w:val="left" w:pos="1500"/>
        </w:tabs>
        <w:adjustRightInd w:val="0"/>
        <w:snapToGrid w:val="0"/>
        <w:spacing w:after="240" w:line="500" w:lineRule="exact"/>
        <w:rPr>
          <w:rFonts w:ascii="微软雅黑" w:hAnsi="微软雅黑" w:eastAsia="微软雅黑"/>
          <w:iCs/>
          <w:color w:val="000000"/>
          <w:kern w:val="0"/>
          <w:szCs w:val="21"/>
        </w:rPr>
      </w:pPr>
      <w:r>
        <w:rPr>
          <w:rFonts w:hint="eastAsia" w:ascii="微软雅黑" w:hAnsi="微软雅黑" w:eastAsia="微软雅黑"/>
          <w:iCs/>
          <w:color w:val="000000"/>
          <w:kern w:val="0"/>
          <w:szCs w:val="21"/>
        </w:rPr>
        <w:t>致 ：</w:t>
      </w:r>
    </w:p>
    <w:p>
      <w:pPr>
        <w:widowControl/>
        <w:spacing w:line="500" w:lineRule="exact"/>
        <w:ind w:firstLine="630"/>
        <w:jc w:val="left"/>
        <w:rPr>
          <w:rFonts w:ascii="微软雅黑" w:hAnsi="微软雅黑" w:eastAsia="微软雅黑"/>
          <w:szCs w:val="21"/>
          <w:highlight w:val="none"/>
        </w:rPr>
      </w:pPr>
      <w:r>
        <w:rPr>
          <w:rFonts w:hint="eastAsia" w:ascii="微软雅黑" w:hAnsi="微软雅黑" w:eastAsia="微软雅黑"/>
          <w:szCs w:val="21"/>
        </w:rPr>
        <w:t>北国商城股份有限公司（简称北国股份）为北人集团主力企业，由购物中心事业部、文旅奥莱事业部、百货事业部、社区商业事业部、超市事业部、电器事业部、电器总公司、珠宝事业部、</w:t>
      </w:r>
      <w:r>
        <w:rPr>
          <w:rFonts w:hint="eastAsia" w:ascii="微软雅黑" w:hAnsi="微软雅黑" w:eastAsia="微软雅黑"/>
          <w:szCs w:val="21"/>
          <w:highlight w:val="none"/>
        </w:rPr>
        <w:t>电子商务有限公司、冀通支付服务有限公司、北国高科技物流产业园等经营部门组成。</w:t>
      </w:r>
    </w:p>
    <w:p>
      <w:pPr>
        <w:spacing w:line="500" w:lineRule="exact"/>
        <w:ind w:firstLine="510"/>
        <w:rPr>
          <w:rFonts w:ascii="微软雅黑" w:hAnsi="微软雅黑" w:eastAsia="微软雅黑"/>
          <w:szCs w:val="21"/>
          <w:highlight w:val="none"/>
        </w:rPr>
      </w:pPr>
      <w:r>
        <w:rPr>
          <w:rFonts w:hint="eastAsia" w:ascii="微软雅黑" w:hAnsi="微软雅黑" w:eastAsia="微软雅黑"/>
          <w:szCs w:val="21"/>
          <w:highlight w:val="none"/>
        </w:rPr>
        <w:t xml:space="preserve">根据北国股份业务发展需要，进行北国先天下容灾调整项目公开招标，项目范围包括：系统部署升级、集群部署升级、容灾部署、容灾监控系统部署、配件安装。请有能力的服务商踊跃参投。 </w:t>
      </w:r>
    </w:p>
    <w:p>
      <w:pPr>
        <w:spacing w:line="500" w:lineRule="exact"/>
        <w:ind w:firstLine="510"/>
        <w:rPr>
          <w:rFonts w:ascii="微软雅黑" w:hAnsi="微软雅黑" w:eastAsia="微软雅黑"/>
          <w:szCs w:val="21"/>
          <w:highlight w:val="none"/>
        </w:rPr>
      </w:pPr>
      <w:r>
        <w:rPr>
          <w:rFonts w:hint="eastAsia" w:ascii="微软雅黑" w:hAnsi="微软雅黑" w:eastAsia="微软雅黑"/>
          <w:szCs w:val="21"/>
          <w:highlight w:val="none"/>
        </w:rPr>
        <w:t>现正式邀请有能力的公司参加投标，请按要求办理投标保证金缴纳事宜，并按照邮件内招标说明投标。</w:t>
      </w:r>
    </w:p>
    <w:p>
      <w:pPr>
        <w:spacing w:line="500" w:lineRule="exact"/>
        <w:ind w:firstLine="420" w:firstLineChars="200"/>
        <w:rPr>
          <w:rFonts w:ascii="微软雅黑" w:hAnsi="微软雅黑" w:eastAsia="微软雅黑" w:cs="微软雅黑"/>
          <w:kern w:val="0"/>
          <w:szCs w:val="21"/>
          <w:highlight w:val="none"/>
          <w:u w:val="single"/>
        </w:rPr>
      </w:pPr>
      <w:r>
        <w:rPr>
          <w:rFonts w:hint="eastAsia" w:ascii="微软雅黑" w:hAnsi="微软雅黑" w:eastAsia="微软雅黑" w:cs="微软雅黑"/>
          <w:kern w:val="0"/>
          <w:szCs w:val="21"/>
          <w:highlight w:val="none"/>
        </w:rPr>
        <w:t>项目名称：</w:t>
      </w:r>
      <w:r>
        <w:rPr>
          <w:rFonts w:hint="eastAsia" w:ascii="微软雅黑" w:hAnsi="微软雅黑" w:eastAsia="微软雅黑"/>
          <w:szCs w:val="21"/>
          <w:highlight w:val="none"/>
          <w:u w:val="single"/>
        </w:rPr>
        <w:t>北国商城股份有限公司北国</w:t>
      </w:r>
      <w:r>
        <w:rPr>
          <w:rFonts w:hint="eastAsia" w:ascii="微软雅黑" w:hAnsi="微软雅黑" w:eastAsia="微软雅黑"/>
          <w:szCs w:val="21"/>
          <w:highlight w:val="none"/>
        </w:rPr>
        <w:t>先天下容灾调整项目</w:t>
      </w:r>
    </w:p>
    <w:p>
      <w:pPr>
        <w:spacing w:line="500" w:lineRule="exact"/>
        <w:ind w:firstLine="420" w:firstLineChars="200"/>
        <w:rPr>
          <w:rFonts w:ascii="微软雅黑" w:hAnsi="微软雅黑" w:eastAsia="微软雅黑" w:cs="微软雅黑"/>
          <w:kern w:val="0"/>
          <w:szCs w:val="21"/>
          <w:highlight w:val="none"/>
          <w:u w:val="single"/>
        </w:rPr>
      </w:pPr>
      <w:r>
        <w:rPr>
          <w:rFonts w:hint="eastAsia" w:ascii="微软雅黑" w:hAnsi="微软雅黑" w:eastAsia="微软雅黑" w:cs="微软雅黑"/>
          <w:kern w:val="0"/>
          <w:szCs w:val="21"/>
          <w:highlight w:val="none"/>
        </w:rPr>
        <w:t>采购内容：</w:t>
      </w:r>
      <w:r>
        <w:rPr>
          <w:rFonts w:hint="eastAsia" w:ascii="微软雅黑" w:hAnsi="微软雅黑" w:eastAsia="微软雅黑"/>
          <w:szCs w:val="21"/>
          <w:highlight w:val="none"/>
        </w:rPr>
        <w:t>北国先天下容灾调整项目</w:t>
      </w:r>
    </w:p>
    <w:p>
      <w:pPr>
        <w:spacing w:line="500" w:lineRule="exact"/>
        <w:ind w:firstLine="420" w:firstLineChars="200"/>
        <w:rPr>
          <w:rFonts w:ascii="微软雅黑" w:hAnsi="微软雅黑" w:eastAsia="微软雅黑" w:cs="微软雅黑"/>
          <w:kern w:val="0"/>
          <w:szCs w:val="21"/>
          <w:highlight w:val="none"/>
        </w:rPr>
      </w:pPr>
      <w:r>
        <w:rPr>
          <w:rFonts w:hint="eastAsia" w:ascii="微软雅黑" w:hAnsi="微软雅黑" w:eastAsia="微软雅黑" w:cs="微软雅黑"/>
          <w:kern w:val="0"/>
          <w:szCs w:val="21"/>
          <w:highlight w:val="none"/>
        </w:rPr>
        <w:t>招标文件发标方式：</w:t>
      </w:r>
      <w:r>
        <w:rPr>
          <w:rFonts w:hint="eastAsia" w:ascii="微软雅黑" w:hAnsi="微软雅黑" w:eastAsia="微软雅黑" w:cs="微软雅黑"/>
          <w:kern w:val="0"/>
          <w:szCs w:val="21"/>
          <w:highlight w:val="none"/>
          <w:u w:val="single"/>
        </w:rPr>
        <w:t>集团官网公示</w:t>
      </w:r>
    </w:p>
    <w:p>
      <w:pPr>
        <w:tabs>
          <w:tab w:val="left" w:pos="425"/>
          <w:tab w:val="left" w:pos="570"/>
          <w:tab w:val="left" w:pos="782"/>
        </w:tabs>
        <w:spacing w:line="500" w:lineRule="exact"/>
        <w:ind w:left="425"/>
        <w:rPr>
          <w:rFonts w:ascii="微软雅黑" w:hAnsi="微软雅黑" w:eastAsia="微软雅黑"/>
          <w:szCs w:val="21"/>
          <w:highlight w:val="none"/>
        </w:rPr>
      </w:pPr>
      <w:r>
        <w:rPr>
          <w:rFonts w:hint="eastAsia" w:ascii="微软雅黑" w:hAnsi="微软雅黑" w:eastAsia="微软雅黑"/>
          <w:szCs w:val="21"/>
          <w:highlight w:val="none"/>
        </w:rPr>
        <w:t>投标保证金缴纳时间：</w:t>
      </w:r>
      <w:r>
        <w:rPr>
          <w:rFonts w:hint="eastAsia" w:ascii="微软雅黑" w:hAnsi="微软雅黑" w:eastAsia="微软雅黑"/>
          <w:szCs w:val="21"/>
          <w:highlight w:val="none"/>
          <w:u w:val="single"/>
        </w:rPr>
        <w:t>20</w:t>
      </w:r>
      <w:r>
        <w:rPr>
          <w:rFonts w:ascii="微软雅黑" w:hAnsi="微软雅黑" w:eastAsia="微软雅黑"/>
          <w:szCs w:val="21"/>
          <w:highlight w:val="none"/>
          <w:u w:val="single"/>
        </w:rPr>
        <w:t>23</w:t>
      </w:r>
      <w:r>
        <w:rPr>
          <w:rFonts w:hint="eastAsia" w:ascii="微软雅黑" w:hAnsi="微软雅黑" w:eastAsia="微软雅黑"/>
          <w:szCs w:val="21"/>
          <w:highlight w:val="none"/>
        </w:rPr>
        <w:t>年</w:t>
      </w:r>
      <w:r>
        <w:rPr>
          <w:rFonts w:hint="eastAsia" w:ascii="微软雅黑" w:hAnsi="微软雅黑" w:eastAsia="微软雅黑"/>
          <w:szCs w:val="21"/>
          <w:highlight w:val="none"/>
          <w:u w:val="single"/>
          <w:lang w:val="en-US" w:eastAsia="zh-CN"/>
        </w:rPr>
        <w:t>3</w:t>
      </w:r>
      <w:r>
        <w:rPr>
          <w:rFonts w:hint="eastAsia" w:ascii="微软雅黑" w:hAnsi="微软雅黑" w:eastAsia="微软雅黑"/>
          <w:szCs w:val="21"/>
          <w:highlight w:val="none"/>
        </w:rPr>
        <w:t>月</w:t>
      </w:r>
      <w:r>
        <w:rPr>
          <w:rFonts w:hint="eastAsia" w:ascii="微软雅黑" w:hAnsi="微软雅黑" w:eastAsia="微软雅黑"/>
          <w:szCs w:val="21"/>
          <w:highlight w:val="none"/>
          <w:u w:val="single"/>
          <w:lang w:val="en-US" w:eastAsia="zh-CN"/>
        </w:rPr>
        <w:t>6</w:t>
      </w:r>
      <w:r>
        <w:rPr>
          <w:rFonts w:hint="eastAsia" w:ascii="微软雅黑" w:hAnsi="微软雅黑" w:eastAsia="微软雅黑"/>
          <w:szCs w:val="21"/>
          <w:highlight w:val="none"/>
        </w:rPr>
        <w:t>日前</w:t>
      </w:r>
    </w:p>
    <w:p>
      <w:pPr>
        <w:tabs>
          <w:tab w:val="left" w:pos="570"/>
          <w:tab w:val="left" w:pos="782"/>
        </w:tabs>
        <w:spacing w:line="500" w:lineRule="exact"/>
        <w:ind w:left="425"/>
        <w:rPr>
          <w:rFonts w:ascii="微软雅黑" w:hAnsi="微软雅黑" w:eastAsia="微软雅黑"/>
          <w:szCs w:val="21"/>
          <w:highlight w:val="none"/>
          <w:u w:val="single"/>
        </w:rPr>
      </w:pPr>
      <w:r>
        <w:rPr>
          <w:rFonts w:hint="eastAsia" w:ascii="微软雅黑" w:hAnsi="微软雅黑" w:eastAsia="微软雅黑"/>
          <w:szCs w:val="21"/>
          <w:highlight w:val="none"/>
        </w:rPr>
        <w:t xml:space="preserve">投标保证金金额: </w:t>
      </w:r>
      <w:r>
        <w:rPr>
          <w:rFonts w:hint="eastAsia" w:ascii="微软雅黑" w:hAnsi="微软雅黑" w:eastAsia="微软雅黑"/>
          <w:szCs w:val="21"/>
          <w:highlight w:val="none"/>
          <w:u w:val="single"/>
        </w:rPr>
        <w:t>人民币伍仟元整</w:t>
      </w:r>
    </w:p>
    <w:p>
      <w:pPr>
        <w:tabs>
          <w:tab w:val="left" w:pos="570"/>
          <w:tab w:val="left" w:pos="782"/>
        </w:tabs>
        <w:spacing w:line="500" w:lineRule="exact"/>
        <w:ind w:left="425"/>
        <w:rPr>
          <w:rFonts w:ascii="微软雅黑" w:hAnsi="微软雅黑" w:eastAsia="微软雅黑"/>
          <w:szCs w:val="21"/>
          <w:highlight w:val="none"/>
          <w:u w:val="single"/>
        </w:rPr>
      </w:pPr>
      <w:r>
        <w:rPr>
          <w:rFonts w:hint="eastAsia" w:ascii="微软雅黑" w:hAnsi="微软雅黑" w:eastAsia="微软雅黑"/>
          <w:szCs w:val="21"/>
          <w:highlight w:val="none"/>
        </w:rPr>
        <w:t>户名:</w:t>
      </w:r>
      <w:r>
        <w:rPr>
          <w:rFonts w:hint="eastAsia" w:ascii="微软雅黑" w:hAnsi="微软雅黑" w:eastAsia="微软雅黑"/>
          <w:szCs w:val="21"/>
          <w:highlight w:val="none"/>
          <w:u w:val="single"/>
        </w:rPr>
        <w:t>北国商城股份有限公司</w:t>
      </w:r>
    </w:p>
    <w:p>
      <w:pPr>
        <w:tabs>
          <w:tab w:val="left" w:pos="570"/>
          <w:tab w:val="left" w:pos="782"/>
        </w:tabs>
        <w:spacing w:line="500" w:lineRule="exact"/>
        <w:ind w:left="425"/>
        <w:rPr>
          <w:rFonts w:ascii="微软雅黑" w:hAnsi="微软雅黑" w:eastAsia="微软雅黑"/>
          <w:szCs w:val="21"/>
          <w:highlight w:val="none"/>
          <w:u w:val="single"/>
        </w:rPr>
      </w:pPr>
      <w:r>
        <w:rPr>
          <w:rFonts w:hint="eastAsia" w:ascii="微软雅黑" w:hAnsi="微软雅黑" w:eastAsia="微软雅黑"/>
          <w:szCs w:val="21"/>
          <w:highlight w:val="none"/>
        </w:rPr>
        <w:t>银行账号：</w:t>
      </w:r>
      <w:r>
        <w:rPr>
          <w:rFonts w:hint="eastAsia" w:ascii="微软雅黑" w:hAnsi="微软雅黑" w:eastAsia="微软雅黑"/>
          <w:szCs w:val="21"/>
          <w:highlight w:val="none"/>
          <w:u w:val="single"/>
        </w:rPr>
        <w:t>0402020409300098689</w:t>
      </w:r>
    </w:p>
    <w:p>
      <w:pPr>
        <w:tabs>
          <w:tab w:val="left" w:pos="570"/>
          <w:tab w:val="left" w:pos="782"/>
        </w:tabs>
        <w:spacing w:line="500" w:lineRule="exact"/>
        <w:ind w:left="425"/>
        <w:rPr>
          <w:rFonts w:ascii="微软雅黑" w:hAnsi="微软雅黑" w:eastAsia="微软雅黑"/>
          <w:szCs w:val="21"/>
          <w:highlight w:val="none"/>
          <w:u w:val="single"/>
        </w:rPr>
      </w:pPr>
      <w:r>
        <w:rPr>
          <w:rFonts w:hint="eastAsia" w:ascii="微软雅黑" w:hAnsi="微软雅黑" w:eastAsia="微软雅黑"/>
          <w:szCs w:val="21"/>
          <w:highlight w:val="none"/>
        </w:rPr>
        <w:t>开户行：</w:t>
      </w:r>
      <w:r>
        <w:rPr>
          <w:rFonts w:hint="eastAsia" w:ascii="微软雅黑" w:hAnsi="微软雅黑" w:eastAsia="微软雅黑"/>
          <w:szCs w:val="21"/>
          <w:highlight w:val="none"/>
          <w:u w:val="single"/>
        </w:rPr>
        <w:t>中国工商银行石家庄长安支行</w:t>
      </w:r>
    </w:p>
    <w:p>
      <w:pPr>
        <w:tabs>
          <w:tab w:val="left" w:pos="425"/>
          <w:tab w:val="left" w:pos="570"/>
          <w:tab w:val="left" w:pos="782"/>
        </w:tabs>
        <w:spacing w:line="500" w:lineRule="exact"/>
        <w:ind w:left="425"/>
        <w:rPr>
          <w:rFonts w:ascii="微软雅黑" w:hAnsi="微软雅黑" w:eastAsia="微软雅黑"/>
          <w:szCs w:val="21"/>
          <w:highlight w:val="none"/>
        </w:rPr>
      </w:pPr>
      <w:r>
        <w:rPr>
          <w:rFonts w:hint="eastAsia" w:ascii="微软雅黑" w:hAnsi="微软雅黑" w:eastAsia="微软雅黑"/>
          <w:szCs w:val="21"/>
          <w:highlight w:val="none"/>
        </w:rPr>
        <w:t>本次招接收投标文件的地点为：</w:t>
      </w:r>
      <w:r>
        <w:rPr>
          <w:rFonts w:hint="eastAsia" w:ascii="微软雅黑" w:hAnsi="微软雅黑" w:eastAsia="微软雅黑"/>
          <w:color w:val="000000"/>
          <w:szCs w:val="21"/>
          <w:highlight w:val="none"/>
          <w:u w:val="single"/>
        </w:rPr>
        <w:t xml:space="preserve"> 石家庄中山东路188号北国商城9楼911室</w:t>
      </w:r>
    </w:p>
    <w:p>
      <w:pPr>
        <w:tabs>
          <w:tab w:val="left" w:pos="425"/>
          <w:tab w:val="left" w:pos="570"/>
          <w:tab w:val="left" w:pos="782"/>
        </w:tabs>
        <w:spacing w:line="500" w:lineRule="exact"/>
        <w:ind w:left="425"/>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开标时间</w:t>
      </w:r>
      <w:r>
        <w:rPr>
          <w:rFonts w:hint="eastAsia" w:ascii="微软雅黑" w:hAnsi="微软雅黑" w:eastAsia="微软雅黑"/>
          <w:szCs w:val="21"/>
          <w:highlight w:val="none"/>
          <w:lang w:eastAsia="zh-CN"/>
        </w:rPr>
        <w:t>：截标三日内</w:t>
      </w:r>
    </w:p>
    <w:p>
      <w:pPr>
        <w:spacing w:line="500" w:lineRule="exact"/>
        <w:ind w:firstLine="405"/>
        <w:rPr>
          <w:rFonts w:ascii="微软雅黑" w:hAnsi="微软雅黑" w:eastAsia="微软雅黑"/>
          <w:szCs w:val="21"/>
          <w:highlight w:val="none"/>
          <w:u w:val="single"/>
        </w:rPr>
      </w:pPr>
      <w:r>
        <w:rPr>
          <w:rFonts w:hint="eastAsia" w:ascii="微软雅黑" w:hAnsi="微软雅黑" w:eastAsia="微软雅黑"/>
          <w:szCs w:val="21"/>
          <w:highlight w:val="none"/>
        </w:rPr>
        <w:t>联系人员：</w:t>
      </w:r>
      <w:r>
        <w:rPr>
          <w:rFonts w:hint="eastAsia" w:ascii="微软雅黑" w:hAnsi="微软雅黑" w:eastAsia="微软雅黑"/>
          <w:szCs w:val="21"/>
          <w:highlight w:val="none"/>
          <w:u w:val="single"/>
        </w:rPr>
        <w:t xml:space="preserve">  高辰       王冠华   </w:t>
      </w:r>
    </w:p>
    <w:p>
      <w:pPr>
        <w:spacing w:line="500" w:lineRule="exact"/>
        <w:ind w:firstLine="405"/>
        <w:rPr>
          <w:rFonts w:ascii="微软雅黑" w:hAnsi="微软雅黑" w:eastAsia="微软雅黑"/>
          <w:szCs w:val="21"/>
          <w:highlight w:val="none"/>
          <w:u w:val="single"/>
        </w:rPr>
      </w:pPr>
      <w:r>
        <w:rPr>
          <w:rFonts w:hint="eastAsia" w:ascii="微软雅黑" w:hAnsi="微软雅黑" w:eastAsia="微软雅黑"/>
          <w:szCs w:val="21"/>
          <w:highlight w:val="none"/>
        </w:rPr>
        <w:t>联系电话：</w:t>
      </w:r>
      <w:r>
        <w:rPr>
          <w:rFonts w:hint="eastAsia" w:ascii="微软雅黑" w:hAnsi="微软雅黑" w:eastAsia="微软雅黑"/>
          <w:szCs w:val="21"/>
          <w:highlight w:val="none"/>
          <w:u w:val="single"/>
        </w:rPr>
        <w:t xml:space="preserve"> 85261938  85261771</w:t>
      </w:r>
    </w:p>
    <w:p>
      <w:pPr>
        <w:spacing w:line="500" w:lineRule="exact"/>
        <w:ind w:firstLine="510"/>
        <w:rPr>
          <w:rFonts w:ascii="微软雅黑" w:hAnsi="微软雅黑" w:eastAsia="微软雅黑"/>
          <w:szCs w:val="21"/>
          <w:highlight w:val="none"/>
        </w:rPr>
      </w:pPr>
      <w:r>
        <w:rPr>
          <w:rFonts w:hint="eastAsia" w:ascii="微软雅黑" w:hAnsi="微软雅黑" w:eastAsia="微软雅黑"/>
          <w:szCs w:val="21"/>
          <w:highlight w:val="none"/>
        </w:rPr>
        <w:t>请贵司在收到邀请函后予以及时确认，并缴纳投标保证金。</w:t>
      </w:r>
    </w:p>
    <w:p>
      <w:pPr>
        <w:spacing w:line="500" w:lineRule="exact"/>
        <w:ind w:firstLine="510"/>
        <w:rPr>
          <w:rFonts w:ascii="微软雅黑" w:hAnsi="微软雅黑" w:eastAsia="微软雅黑"/>
          <w:szCs w:val="21"/>
          <w:highlight w:val="none"/>
        </w:rPr>
      </w:pPr>
      <w:r>
        <w:rPr>
          <w:rFonts w:hint="eastAsia" w:ascii="微软雅黑" w:hAnsi="微软雅黑" w:eastAsia="微软雅黑"/>
          <w:szCs w:val="21"/>
          <w:highlight w:val="none"/>
        </w:rPr>
        <w:t>顺颂商祺！</w:t>
      </w:r>
    </w:p>
    <w:p>
      <w:pPr>
        <w:spacing w:line="500" w:lineRule="exact"/>
        <w:rPr>
          <w:highlight w:val="none"/>
        </w:rPr>
      </w:pPr>
      <w:r>
        <w:rPr>
          <w:rFonts w:hint="eastAsia" w:ascii="微软雅黑" w:hAnsi="微软雅黑" w:eastAsia="微软雅黑"/>
          <w:szCs w:val="21"/>
          <w:highlight w:val="none"/>
        </w:rPr>
        <w:t xml:space="preserve">                                                              （投标单位确认盖章）</w:t>
      </w:r>
    </w:p>
    <w:p>
      <w:pPr>
        <w:rPr>
          <w:highlight w:val="none"/>
        </w:rPr>
      </w:pPr>
    </w:p>
    <w:p>
      <w:pPr>
        <w:pStyle w:val="3"/>
        <w:rPr>
          <w:rFonts w:ascii="微软雅黑" w:hAnsi="微软雅黑" w:eastAsia="微软雅黑"/>
          <w:sz w:val="30"/>
          <w:szCs w:val="30"/>
          <w:highlight w:val="none"/>
        </w:rPr>
      </w:pPr>
      <w:bookmarkStart w:id="3" w:name="_Toc526784148"/>
      <w:bookmarkStart w:id="4" w:name="_Toc7683"/>
      <w:bookmarkStart w:id="5" w:name="_Toc527105159"/>
      <w:r>
        <w:rPr>
          <w:rFonts w:hint="eastAsia" w:ascii="微软雅黑" w:hAnsi="微软雅黑" w:eastAsia="微软雅黑"/>
          <w:sz w:val="30"/>
          <w:szCs w:val="30"/>
          <w:highlight w:val="none"/>
        </w:rPr>
        <w:t>2.投标须知</w:t>
      </w:r>
      <w:bookmarkEnd w:id="3"/>
      <w:bookmarkEnd w:id="4"/>
      <w:bookmarkEnd w:id="5"/>
      <w:bookmarkStart w:id="6" w:name="_Toc376179522"/>
      <w:bookmarkEnd w:id="6"/>
      <w:bookmarkStart w:id="7" w:name="_Toc376179409"/>
      <w:bookmarkEnd w:id="7"/>
      <w:bookmarkStart w:id="8" w:name="_Toc376179250"/>
      <w:bookmarkEnd w:id="8"/>
      <w:bookmarkStart w:id="9" w:name="_Toc376185075"/>
      <w:bookmarkEnd w:id="9"/>
      <w:bookmarkStart w:id="10" w:name="_Toc376185074"/>
      <w:bookmarkEnd w:id="10"/>
      <w:bookmarkStart w:id="11" w:name="_Toc376179362"/>
      <w:bookmarkEnd w:id="11"/>
      <w:bookmarkStart w:id="12" w:name="_Toc376181963"/>
      <w:bookmarkEnd w:id="12"/>
      <w:bookmarkStart w:id="13" w:name="_Toc376179042"/>
      <w:bookmarkEnd w:id="13"/>
      <w:bookmarkStart w:id="14" w:name="_Toc374627167"/>
      <w:bookmarkStart w:id="15" w:name="_Toc516486638"/>
    </w:p>
    <w:p>
      <w:pPr>
        <w:pStyle w:val="4"/>
        <w:rPr>
          <w:rFonts w:ascii="微软雅黑" w:hAnsi="微软雅黑" w:eastAsia="微软雅黑"/>
          <w:sz w:val="28"/>
          <w:szCs w:val="28"/>
          <w:highlight w:val="none"/>
        </w:rPr>
      </w:pPr>
      <w:bookmarkStart w:id="16" w:name="_Toc527105160"/>
      <w:bookmarkStart w:id="17" w:name="_Toc18978"/>
      <w:bookmarkStart w:id="18" w:name="_Toc526784149"/>
      <w:r>
        <w:rPr>
          <w:rFonts w:hint="eastAsia" w:ascii="微软雅黑" w:hAnsi="微软雅黑" w:eastAsia="微软雅黑"/>
          <w:sz w:val="28"/>
          <w:szCs w:val="28"/>
          <w:highlight w:val="none"/>
        </w:rPr>
        <w:t>2.1概述</w:t>
      </w:r>
      <w:bookmarkEnd w:id="14"/>
      <w:bookmarkEnd w:id="15"/>
      <w:bookmarkEnd w:id="16"/>
      <w:bookmarkEnd w:id="17"/>
      <w:bookmarkEnd w:id="18"/>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highlight w:val="none"/>
        </w:rPr>
        <w:t>招标范围：本次招标活动系针对北国先天下容灾调整项目而举行，投标人对此应予以综合考</w:t>
      </w:r>
      <w:r>
        <w:rPr>
          <w:rFonts w:hint="eastAsia" w:ascii="微软雅黑" w:hAnsi="微软雅黑" w:eastAsia="微软雅黑"/>
          <w:szCs w:val="21"/>
        </w:rPr>
        <w:t>量。在本次招标活动中，</w:t>
      </w:r>
      <w:r>
        <w:rPr>
          <w:rFonts w:hint="eastAsia" w:ascii="微软雅黑" w:hAnsi="微软雅黑" w:eastAsia="微软雅黑"/>
          <w:color w:val="FF0000"/>
          <w:szCs w:val="21"/>
        </w:rPr>
        <w:t>投标人一旦中标，其自报的中标价及承诺等均适用于本次项目，投标人在投标文件中须对此做出响应，</w:t>
      </w:r>
      <w:r>
        <w:rPr>
          <w:rFonts w:hint="eastAsia" w:ascii="微软雅黑" w:hAnsi="微软雅黑" w:eastAsia="微软雅黑"/>
          <w:szCs w:val="21"/>
        </w:rPr>
        <w:t>否则将被视作废标。</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招标方式：公开招标。</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投标有效期：两个月。</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无论投标的结果如何，投标人自行承担因参加投标发生的全部费用及风险。</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招标活动安排：投标的单位必须严格按照招标文件规定的日程安排和规则准时参加招标活动。</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递交书面疑问截止时间：</w:t>
      </w:r>
      <w:r>
        <w:rPr>
          <w:rFonts w:hint="eastAsia" w:ascii="微软雅黑" w:hAnsi="微软雅黑" w:eastAsia="微软雅黑"/>
          <w:szCs w:val="21"/>
          <w:highlight w:val="yellow"/>
          <w:u w:val="single"/>
        </w:rPr>
        <w:t>20</w:t>
      </w:r>
      <w:r>
        <w:rPr>
          <w:rFonts w:ascii="微软雅黑" w:hAnsi="微软雅黑" w:eastAsia="微软雅黑"/>
          <w:szCs w:val="21"/>
          <w:highlight w:val="yellow"/>
          <w:u w:val="single"/>
        </w:rPr>
        <w:t>23</w:t>
      </w:r>
      <w:r>
        <w:rPr>
          <w:rFonts w:hint="eastAsia" w:ascii="微软雅黑" w:hAnsi="微软雅黑" w:eastAsia="微软雅黑"/>
          <w:szCs w:val="21"/>
          <w:highlight w:val="yellow"/>
        </w:rPr>
        <w:t>年</w:t>
      </w:r>
      <w:r>
        <w:rPr>
          <w:rFonts w:hint="eastAsia" w:ascii="微软雅黑" w:hAnsi="微软雅黑" w:eastAsia="微软雅黑"/>
          <w:szCs w:val="21"/>
          <w:highlight w:val="yellow"/>
          <w:u w:val="single"/>
          <w:lang w:val="en-US" w:eastAsia="zh-CN"/>
        </w:rPr>
        <w:t>3</w:t>
      </w:r>
      <w:r>
        <w:rPr>
          <w:rFonts w:hint="eastAsia" w:ascii="微软雅黑" w:hAnsi="微软雅黑" w:eastAsia="微软雅黑"/>
          <w:szCs w:val="21"/>
          <w:highlight w:val="yellow"/>
        </w:rPr>
        <w:t>月</w:t>
      </w:r>
      <w:r>
        <w:rPr>
          <w:rFonts w:hint="eastAsia" w:ascii="微软雅黑" w:hAnsi="微软雅黑" w:eastAsia="微软雅黑"/>
          <w:szCs w:val="21"/>
          <w:highlight w:val="yellow"/>
          <w:u w:val="single"/>
          <w:lang w:val="en-US" w:eastAsia="zh-CN"/>
        </w:rPr>
        <w:t>4</w:t>
      </w:r>
      <w:r>
        <w:rPr>
          <w:rFonts w:hint="eastAsia" w:ascii="微软雅黑" w:hAnsi="微软雅黑" w:eastAsia="微软雅黑"/>
          <w:szCs w:val="21"/>
          <w:highlight w:val="yellow"/>
        </w:rPr>
        <w:t>日之前</w:t>
      </w:r>
      <w:r>
        <w:rPr>
          <w:rFonts w:hint="eastAsia" w:ascii="微软雅黑" w:hAnsi="微软雅黑" w:eastAsia="微软雅黑"/>
          <w:szCs w:val="21"/>
        </w:rPr>
        <w:t>。</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投标截止日期:</w:t>
      </w:r>
      <w:r>
        <w:rPr>
          <w:rFonts w:hint="eastAsia" w:ascii="微软雅黑" w:hAnsi="微软雅黑" w:eastAsia="微软雅黑"/>
          <w:szCs w:val="21"/>
          <w:highlight w:val="yellow"/>
          <w:u w:val="single"/>
        </w:rPr>
        <w:t>20</w:t>
      </w:r>
      <w:r>
        <w:rPr>
          <w:rFonts w:ascii="微软雅黑" w:hAnsi="微软雅黑" w:eastAsia="微软雅黑"/>
          <w:szCs w:val="21"/>
          <w:highlight w:val="yellow"/>
          <w:u w:val="single"/>
        </w:rPr>
        <w:t>23</w:t>
      </w:r>
      <w:r>
        <w:rPr>
          <w:rFonts w:hint="eastAsia" w:ascii="微软雅黑" w:hAnsi="微软雅黑" w:eastAsia="微软雅黑"/>
          <w:szCs w:val="21"/>
          <w:highlight w:val="yellow"/>
        </w:rPr>
        <w:t>年</w:t>
      </w:r>
      <w:r>
        <w:rPr>
          <w:rFonts w:ascii="微软雅黑" w:hAnsi="微软雅黑" w:eastAsia="微软雅黑"/>
          <w:szCs w:val="21"/>
          <w:highlight w:val="yellow"/>
          <w:u w:val="single"/>
        </w:rPr>
        <w:t>3</w:t>
      </w:r>
      <w:r>
        <w:rPr>
          <w:rFonts w:hint="eastAsia" w:ascii="微软雅黑" w:hAnsi="微软雅黑" w:eastAsia="微软雅黑"/>
          <w:szCs w:val="21"/>
          <w:highlight w:val="yellow"/>
        </w:rPr>
        <w:t>月</w:t>
      </w:r>
      <w:r>
        <w:rPr>
          <w:rFonts w:hint="eastAsia" w:ascii="微软雅黑" w:hAnsi="微软雅黑" w:eastAsia="微软雅黑"/>
          <w:szCs w:val="21"/>
          <w:highlight w:val="yellow"/>
          <w:u w:val="single"/>
          <w:lang w:val="en-US" w:eastAsia="zh-CN"/>
        </w:rPr>
        <w:t>7</w:t>
      </w:r>
      <w:r>
        <w:rPr>
          <w:rFonts w:hint="eastAsia" w:ascii="微软雅黑" w:hAnsi="微软雅黑" w:eastAsia="微软雅黑"/>
          <w:szCs w:val="21"/>
          <w:highlight w:val="yellow"/>
        </w:rPr>
        <w:t>日</w:t>
      </w:r>
      <w:r>
        <w:rPr>
          <w:rFonts w:hint="eastAsia" w:ascii="微软雅黑" w:hAnsi="微软雅黑" w:eastAsia="微软雅黑"/>
          <w:szCs w:val="21"/>
          <w:highlight w:val="yellow"/>
          <w:lang w:val="en-US" w:eastAsia="zh-CN"/>
        </w:rPr>
        <w:t>18点</w:t>
      </w:r>
      <w:bookmarkStart w:id="179" w:name="_GoBack"/>
      <w:bookmarkEnd w:id="179"/>
      <w:r>
        <w:rPr>
          <w:rFonts w:hint="eastAsia" w:ascii="微软雅黑" w:hAnsi="微软雅黑" w:eastAsia="微软雅黑"/>
          <w:szCs w:val="21"/>
          <w:highlight w:val="yellow"/>
        </w:rPr>
        <w:t>之前</w:t>
      </w:r>
      <w:r>
        <w:rPr>
          <w:rFonts w:hint="eastAsia" w:ascii="微软雅黑" w:hAnsi="微软雅黑" w:eastAsia="微软雅黑"/>
          <w:szCs w:val="21"/>
        </w:rPr>
        <w:t>，将投标文件提交招标人。</w:t>
      </w:r>
    </w:p>
    <w:p>
      <w:pPr>
        <w:pStyle w:val="26"/>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文件的澄清：任何要求澄清招标文件的投标人，均应在投标邀请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9" w:name="_Toc516486639"/>
    </w:p>
    <w:p>
      <w:pPr>
        <w:pStyle w:val="4"/>
        <w:rPr>
          <w:rFonts w:ascii="微软雅黑" w:hAnsi="微软雅黑" w:eastAsia="微软雅黑"/>
          <w:sz w:val="28"/>
          <w:szCs w:val="28"/>
        </w:rPr>
      </w:pPr>
      <w:bookmarkStart w:id="20" w:name="_Toc526784150"/>
      <w:bookmarkStart w:id="21" w:name="_Toc527105161"/>
      <w:bookmarkStart w:id="22" w:name="_Toc8987"/>
      <w:r>
        <w:rPr>
          <w:rFonts w:hint="eastAsia" w:ascii="微软雅黑" w:hAnsi="微软雅黑" w:eastAsia="微软雅黑"/>
          <w:sz w:val="28"/>
          <w:szCs w:val="28"/>
        </w:rPr>
        <w:t>2.2投标人资格要求</w:t>
      </w:r>
      <w:bookmarkEnd w:id="19"/>
      <w:bookmarkEnd w:id="20"/>
      <w:bookmarkEnd w:id="21"/>
      <w:bookmarkEnd w:id="22"/>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投标人应在中华人民共和国注册具有独立法人资格，持有《企业法人营业执照》；具备本项目要求的c软件、设备等产品相应的服务能力；且具备履行本招标内容能力的独立法人。</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投标人必须具有专业资质，能提供良好的技术支持和售后服务。（项目</w:t>
      </w:r>
      <w:r>
        <w:rPr>
          <w:rFonts w:ascii="微软雅黑" w:hAnsi="微软雅黑" w:eastAsia="微软雅黑"/>
          <w:szCs w:val="21"/>
        </w:rPr>
        <w:t>经理</w:t>
      </w:r>
      <w:r>
        <w:rPr>
          <w:rFonts w:hint="eastAsia" w:ascii="微软雅黑" w:hAnsi="微软雅黑" w:eastAsia="微软雅黑"/>
          <w:szCs w:val="21"/>
        </w:rPr>
        <w:t>须</w:t>
      </w:r>
      <w:r>
        <w:rPr>
          <w:rFonts w:ascii="微软雅黑" w:hAnsi="微软雅黑" w:eastAsia="微软雅黑"/>
          <w:szCs w:val="21"/>
        </w:rPr>
        <w:t>提供个人简历及相关资质证明）</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投标人必须按照项目内容要求的设备信息、系统应用软件实施及服务完整投标，否则视为投标无效。</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投标人必须有良好的企业财务状况，提供包括近三年经会计师事务所审计的审计报告及加盖会计师事务所公章的财务报表（资产负债表、损益表及现金流量表）。</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投标人具备完善和有效可靠运行的质量保证体系。</w:t>
      </w:r>
    </w:p>
    <w:p>
      <w:pPr>
        <w:pStyle w:val="26"/>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投标人应在响应本招标文件的前提下自愿参加投标。</w:t>
      </w:r>
    </w:p>
    <w:p>
      <w:pPr>
        <w:pStyle w:val="4"/>
        <w:rPr>
          <w:rFonts w:ascii="微软雅黑" w:hAnsi="微软雅黑" w:eastAsia="微软雅黑"/>
          <w:sz w:val="28"/>
          <w:szCs w:val="28"/>
        </w:rPr>
      </w:pPr>
      <w:bookmarkStart w:id="23" w:name="_Toc527105162"/>
      <w:bookmarkStart w:id="24" w:name="_Toc11871"/>
      <w:bookmarkStart w:id="25" w:name="_Toc526784151"/>
      <w:bookmarkStart w:id="26" w:name="_Toc516486640"/>
      <w:r>
        <w:rPr>
          <w:rFonts w:hint="eastAsia" w:ascii="微软雅黑" w:hAnsi="微软雅黑" w:eastAsia="微软雅黑"/>
          <w:sz w:val="28"/>
          <w:szCs w:val="28"/>
        </w:rPr>
        <w:t>2.3投标文件的组成</w:t>
      </w:r>
      <w:bookmarkEnd w:id="23"/>
      <w:bookmarkEnd w:id="24"/>
      <w:bookmarkEnd w:id="25"/>
      <w:bookmarkEnd w:id="26"/>
    </w:p>
    <w:p>
      <w:pPr>
        <w:pStyle w:val="26"/>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投标人所提交的投标文件必须分为商务标及技术标两个部分，需分别装订。投标文件必须包括正本及副本如下：</w:t>
      </w:r>
    </w:p>
    <w:p>
      <w:pPr>
        <w:pStyle w:val="26"/>
        <w:widowControl/>
        <w:numPr>
          <w:ilvl w:val="1"/>
          <w:numId w:val="3"/>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商务标：正本一份及副本三份（附投标报价电子版，但以书面文件报价为准）；</w:t>
      </w:r>
    </w:p>
    <w:p>
      <w:pPr>
        <w:pStyle w:val="26"/>
        <w:widowControl/>
        <w:numPr>
          <w:ilvl w:val="1"/>
          <w:numId w:val="3"/>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技术标：正本一份及副本三份（不含报价）（附电子版）；</w:t>
      </w:r>
    </w:p>
    <w:p>
      <w:pPr>
        <w:pStyle w:val="26"/>
        <w:widowControl/>
        <w:numPr>
          <w:ilvl w:val="1"/>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电子版本须提供word/excel等</w:t>
      </w:r>
      <w:r>
        <w:rPr>
          <w:rFonts w:ascii="微软雅黑" w:hAnsi="微软雅黑" w:eastAsia="微软雅黑"/>
          <w:szCs w:val="21"/>
        </w:rPr>
        <w:t>其他源</w:t>
      </w:r>
      <w:r>
        <w:rPr>
          <w:rFonts w:hint="eastAsia" w:ascii="微软雅黑" w:hAnsi="微软雅黑" w:eastAsia="微软雅黑"/>
          <w:szCs w:val="21"/>
        </w:rPr>
        <w:t>格式文件。</w:t>
      </w:r>
    </w:p>
    <w:p>
      <w:pPr>
        <w:pStyle w:val="26"/>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投标文件应打印装订成册，纸张规格为A4，正文为宋体，大小为小四号至三号字，密封于档案袋内，封面注明 “北国股份</w:t>
      </w:r>
      <w:r>
        <w:rPr>
          <w:rFonts w:hint="eastAsia" w:ascii="微软雅黑" w:hAnsi="微软雅黑" w:eastAsia="微软雅黑"/>
          <w:szCs w:val="21"/>
          <w:highlight w:val="yellow"/>
        </w:rPr>
        <w:t>北国先天下容灾调整项目</w:t>
      </w:r>
      <w:r>
        <w:rPr>
          <w:rFonts w:hint="eastAsia" w:ascii="微软雅黑" w:hAnsi="微软雅黑" w:eastAsia="微软雅黑"/>
          <w:szCs w:val="21"/>
        </w:rPr>
        <w:t>采购投标文件”及单位名称，加盖公章，并根据投标邀请上注明的回标日期及地址提交。</w:t>
      </w:r>
    </w:p>
    <w:p>
      <w:pPr>
        <w:pStyle w:val="26"/>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投标人提交的投标文件应符合招标文件的规定，投标文件不全的视为废标。</w:t>
      </w:r>
    </w:p>
    <w:p>
      <w:pPr>
        <w:pStyle w:val="4"/>
        <w:rPr>
          <w:rFonts w:ascii="微软雅黑" w:hAnsi="微软雅黑" w:eastAsia="微软雅黑"/>
          <w:sz w:val="28"/>
          <w:szCs w:val="28"/>
        </w:rPr>
      </w:pPr>
      <w:bookmarkStart w:id="27" w:name="_Toc527105163"/>
      <w:bookmarkStart w:id="28" w:name="_Toc526784152"/>
      <w:bookmarkStart w:id="29" w:name="_Toc32633"/>
      <w:bookmarkStart w:id="30" w:name="_Toc516486641"/>
      <w:r>
        <w:rPr>
          <w:rFonts w:hint="eastAsia" w:ascii="微软雅黑" w:hAnsi="微软雅黑" w:eastAsia="微软雅黑"/>
          <w:sz w:val="28"/>
          <w:szCs w:val="28"/>
        </w:rPr>
        <w:t>2.4投标文件的编制</w:t>
      </w:r>
      <w:bookmarkEnd w:id="27"/>
      <w:bookmarkEnd w:id="28"/>
      <w:bookmarkEnd w:id="29"/>
      <w:bookmarkEnd w:id="30"/>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投标人应仔细阅读招标文件的所有内容，严格按招标文件的要求制作并提供投标文件。</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投标人应保证所有提供的资料的真实性、准确性、有效性，并使其投标内容对招标文件的实质性要求做出完全的响应，否则，其投标可能被拒绝，对此招标人不承担任何责任。</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投标人向招标人提供的所有投标文件、信函、说明等资料，在未获得招标人特别要求时，应以中文书写。</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投标人向招标人提供的所有投标文件、信函、说明等资料，在未获得招标人特别要求时，其中的计量单位应采用中华人民共和国法定计量单位。</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投标人向招标人提供的所有投标文件中的任何报价，（包括总价、分项价格）一律采用人民币填报。</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招标人欢迎投标人可以在不引起投标误解的前提条件下，对更优于招标要求的先进技术另外做出补充说明，但招标人不承诺一定要对此说明进行评审。</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所提交的系统应用软件必须符合本招标文件的技术规格及要求，必须满足招标方服务工作状况使用要求。软件功能与技术性能如不能达到上述要求，招标人有权要求退货返还项目所支付的所有费用并且投标人对由此造成的损失全额负责赔偿。</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投标文件中明确质保期后的软件维护、升级方式及功能扩展取费标准及费用，并要考虑培训和优质售后服务，投标人应列出详细的报价</w:t>
      </w:r>
      <w:bookmarkStart w:id="31" w:name="_Hlt527376756"/>
      <w:bookmarkEnd w:id="31"/>
      <w:r>
        <w:rPr>
          <w:rFonts w:hint="eastAsia" w:ascii="微软雅黑" w:hAnsi="微软雅黑" w:eastAsia="微软雅黑"/>
          <w:szCs w:val="21"/>
        </w:rPr>
        <w:t>清单（新购设备、实施与服务、技术支持等的取费标准应不高于本次投标标准）。</w:t>
      </w:r>
    </w:p>
    <w:p>
      <w:pPr>
        <w:pStyle w:val="26"/>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投标报价表上的价格应包括合同条款上所列的各项内容的全部费用，应为履行合同的固定价格，不得以任何理由予以重复。</w:t>
      </w:r>
    </w:p>
    <w:p>
      <w:pPr>
        <w:pStyle w:val="4"/>
        <w:rPr>
          <w:rFonts w:ascii="微软雅黑" w:hAnsi="微软雅黑" w:eastAsia="微软雅黑"/>
          <w:sz w:val="28"/>
          <w:szCs w:val="28"/>
        </w:rPr>
      </w:pPr>
      <w:bookmarkStart w:id="32" w:name="_Toc527105164"/>
      <w:bookmarkStart w:id="33" w:name="_Toc516486642"/>
      <w:bookmarkStart w:id="34" w:name="_Toc21293"/>
      <w:bookmarkStart w:id="35" w:name="_Toc526784153"/>
      <w:r>
        <w:rPr>
          <w:rFonts w:hint="eastAsia" w:ascii="微软雅黑" w:hAnsi="微软雅黑" w:eastAsia="微软雅黑"/>
          <w:sz w:val="28"/>
          <w:szCs w:val="28"/>
        </w:rPr>
        <w:t>2.5投标文件的内容</w:t>
      </w:r>
      <w:bookmarkEnd w:id="32"/>
      <w:bookmarkEnd w:id="33"/>
      <w:bookmarkEnd w:id="34"/>
      <w:bookmarkEnd w:id="35"/>
    </w:p>
    <w:p>
      <w:pPr>
        <w:pStyle w:val="2"/>
        <w:rPr>
          <w:rFonts w:ascii="微软雅黑" w:hAnsi="微软雅黑" w:eastAsia="微软雅黑"/>
          <w:sz w:val="24"/>
          <w:szCs w:val="24"/>
        </w:rPr>
      </w:pPr>
      <w:bookmarkStart w:id="36" w:name="_Toc526784154"/>
      <w:bookmarkStart w:id="37" w:name="_Toc527105165"/>
      <w:bookmarkStart w:id="38" w:name="_Toc25591"/>
      <w:r>
        <w:rPr>
          <w:rFonts w:hint="eastAsia" w:ascii="微软雅黑" w:hAnsi="微软雅黑" w:eastAsia="微软雅黑"/>
          <w:sz w:val="24"/>
          <w:szCs w:val="24"/>
        </w:rPr>
        <w:t>2.5.1商务标的内容</w:t>
      </w:r>
      <w:bookmarkEnd w:id="36"/>
      <w:bookmarkEnd w:id="37"/>
      <w:bookmarkEnd w:id="38"/>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投标函；</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承诺书；</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投标人企业信息和联络方式一览表</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法定代表人证明书；</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企业法人及法定代表人授权委托书，委托人、被委托人身份证复印件；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w:t>
      </w:r>
      <w:r>
        <w:rPr>
          <w:rFonts w:ascii="微软雅黑" w:hAnsi="微软雅黑" w:eastAsia="微软雅黑"/>
          <w:szCs w:val="21"/>
          <w:highlight w:val="yellow"/>
        </w:rPr>
        <w:t>保证金相关</w:t>
      </w:r>
      <w:r>
        <w:rPr>
          <w:rFonts w:hint="eastAsia" w:ascii="微软雅黑" w:hAnsi="微软雅黑" w:eastAsia="微软雅黑"/>
          <w:szCs w:val="21"/>
          <w:highlight w:val="yellow"/>
        </w:rPr>
        <w:t>凭证</w:t>
      </w:r>
      <w:r>
        <w:rPr>
          <w:rFonts w:ascii="微软雅黑" w:hAnsi="微软雅黑" w:eastAsia="微软雅黑"/>
          <w:szCs w:val="21"/>
          <w:highlight w:val="yellow"/>
        </w:rPr>
        <w:t>复印件；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廉政须知回执；</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经年检的企业法人营业执照复印件；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投标人的开户银行出具的资信证明；</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投标分项价格表</w:t>
      </w:r>
      <w:r>
        <w:rPr>
          <w:rFonts w:ascii="微软雅黑" w:hAnsi="微软雅黑" w:eastAsia="微软雅黑"/>
          <w:szCs w:val="21"/>
          <w:highlight w:val="yellow"/>
        </w:rPr>
        <w:t>；</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付款</w:t>
      </w:r>
      <w:r>
        <w:rPr>
          <w:rFonts w:ascii="微软雅黑" w:hAnsi="微软雅黑" w:eastAsia="微软雅黑"/>
          <w:szCs w:val="21"/>
          <w:highlight w:val="yellow"/>
        </w:rPr>
        <w:t>方式；</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针对北国股份公司合作可提供的优惠条件；（根据北国股份数据中心规模</w:t>
      </w:r>
      <w:r>
        <w:rPr>
          <w:rFonts w:ascii="微软雅黑" w:hAnsi="微软雅黑" w:eastAsia="微软雅黑"/>
          <w:szCs w:val="21"/>
          <w:highlight w:val="yellow"/>
        </w:rPr>
        <w:t>发展可提供的</w:t>
      </w:r>
      <w:r>
        <w:rPr>
          <w:rFonts w:hint="eastAsia" w:ascii="微软雅黑" w:hAnsi="微软雅黑" w:eastAsia="微软雅黑"/>
          <w:szCs w:val="21"/>
          <w:highlight w:val="yellow"/>
        </w:rPr>
        <w:t>优惠</w:t>
      </w:r>
      <w:r>
        <w:rPr>
          <w:rFonts w:ascii="微软雅黑" w:hAnsi="微软雅黑" w:eastAsia="微软雅黑"/>
          <w:szCs w:val="21"/>
          <w:highlight w:val="yellow"/>
        </w:rPr>
        <w:t>条件）</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投标人总部及分支单位联系方式；</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投标人认为有必要提交的其他说明文件或资料。</w:t>
      </w:r>
    </w:p>
    <w:p>
      <w:pPr>
        <w:pStyle w:val="2"/>
        <w:rPr>
          <w:rFonts w:ascii="微软雅黑" w:hAnsi="微软雅黑" w:eastAsia="微软雅黑"/>
          <w:sz w:val="24"/>
          <w:szCs w:val="24"/>
        </w:rPr>
      </w:pPr>
      <w:bookmarkStart w:id="39" w:name="_Toc527105166"/>
      <w:bookmarkStart w:id="40" w:name="_Toc11032"/>
      <w:bookmarkStart w:id="41" w:name="_Toc526784155"/>
      <w:r>
        <w:rPr>
          <w:rFonts w:hint="eastAsia" w:ascii="微软雅黑" w:hAnsi="微软雅黑" w:eastAsia="微软雅黑"/>
          <w:sz w:val="24"/>
          <w:szCs w:val="24"/>
        </w:rPr>
        <w:t>2.5.2技术标的内容</w:t>
      </w:r>
      <w:bookmarkEnd w:id="39"/>
      <w:bookmarkEnd w:id="40"/>
      <w:bookmarkEnd w:id="41"/>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本项目总体设计及实施方案</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方案总体设计；</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实施服务及技术支持；</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关键技术（技术难点）及技术风险；</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实施部署架构和详细技术；</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实施计划、项目管理；</w:t>
      </w:r>
    </w:p>
    <w:p>
      <w:pPr>
        <w:pStyle w:val="26"/>
        <w:widowControl/>
        <w:numPr>
          <w:ilvl w:val="2"/>
          <w:numId w:val="6"/>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color w:val="000000"/>
          <w:szCs w:val="21"/>
          <w:highlight w:val="yellow"/>
        </w:rPr>
        <w:t>要求招标人提供的配合；</w:t>
      </w:r>
    </w:p>
    <w:p>
      <w:pPr>
        <w:pStyle w:val="26"/>
        <w:widowControl/>
        <w:numPr>
          <w:ilvl w:val="255"/>
          <w:numId w:val="0"/>
        </w:numPr>
        <w:spacing w:line="480" w:lineRule="auto"/>
        <w:ind w:firstLine="420" w:firstLineChars="200"/>
        <w:jc w:val="left"/>
        <w:rPr>
          <w:rFonts w:ascii="微软雅黑" w:hAnsi="微软雅黑" w:eastAsia="微软雅黑"/>
          <w:szCs w:val="21"/>
          <w:highlight w:val="yellow"/>
        </w:rPr>
      </w:pP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本项目交付的质量保证措施及交付成果；</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本项目售后服务；</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本项目采购配件及服务的偏离表，及满足项目需求能力承诺书；</w:t>
      </w:r>
    </w:p>
    <w:p>
      <w:pPr>
        <w:pStyle w:val="26"/>
        <w:widowControl/>
        <w:numPr>
          <w:ilvl w:val="1"/>
          <w:numId w:val="5"/>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投标人认为必要的其它材料。</w:t>
      </w:r>
    </w:p>
    <w:p>
      <w:pPr>
        <w:pStyle w:val="4"/>
        <w:rPr>
          <w:rFonts w:ascii="微软雅黑" w:hAnsi="微软雅黑" w:eastAsia="微软雅黑"/>
          <w:sz w:val="28"/>
          <w:szCs w:val="28"/>
        </w:rPr>
      </w:pPr>
      <w:bookmarkStart w:id="42" w:name="_Toc527105167"/>
      <w:bookmarkStart w:id="43" w:name="_Toc516486643"/>
      <w:bookmarkStart w:id="44" w:name="_Toc20904"/>
      <w:bookmarkStart w:id="45" w:name="_Toc526784156"/>
      <w:r>
        <w:rPr>
          <w:rFonts w:hint="eastAsia" w:ascii="微软雅黑" w:hAnsi="微软雅黑" w:eastAsia="微软雅黑"/>
          <w:sz w:val="28"/>
          <w:szCs w:val="28"/>
        </w:rPr>
        <w:t>2.6投标报价</w:t>
      </w:r>
      <w:bookmarkEnd w:id="42"/>
      <w:bookmarkEnd w:id="43"/>
      <w:bookmarkEnd w:id="44"/>
      <w:bookmarkEnd w:id="45"/>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投标报价均应为在招标文件中指定的范围内完成整个项目的实施，各分项报价明细及后续维保的费用。</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投标人应填写开标一览表，并填写详细分项报价，如果分项报价与总价有出入，则以低报价为准。</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投标价格表填写时应注意下列要求：</w:t>
      </w:r>
    </w:p>
    <w:p>
      <w:pPr>
        <w:rPr>
          <w:rFonts w:ascii="微软雅黑" w:hAnsi="微软雅黑" w:eastAsia="微软雅黑"/>
          <w:szCs w:val="21"/>
        </w:rPr>
      </w:pPr>
      <w:r>
        <w:rPr>
          <w:rFonts w:hint="eastAsia" w:ascii="微软雅黑" w:hAnsi="微软雅黑" w:eastAsia="微软雅黑"/>
          <w:szCs w:val="21"/>
        </w:rPr>
        <w:t>按产品实施等费用明细，列出项目收费方式；</w:t>
      </w:r>
    </w:p>
    <w:p>
      <w:pPr>
        <w:pStyle w:val="26"/>
        <w:widowControl/>
        <w:numPr>
          <w:ilvl w:val="1"/>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工作范围或产品功能范围追加后的收费方式及报价明细；</w:t>
      </w:r>
    </w:p>
    <w:p>
      <w:pPr>
        <w:pStyle w:val="26"/>
        <w:widowControl/>
        <w:numPr>
          <w:ilvl w:val="1"/>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对本项目各阶段的详细对应。</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投标人按上述条款要求填写报价以便于招标人进行评标。</w:t>
      </w:r>
    </w:p>
    <w:p>
      <w:pPr>
        <w:pStyle w:val="26"/>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投标人可以在前述报价的基础上再提出竞争性措施或优惠条件，形成确定性的有效承诺，一旦中标，该承诺将成为合同的一部分并充分履行；如果该承诺关系到计价，则在最终结算时该承诺条件同等适用。</w:t>
      </w:r>
    </w:p>
    <w:p>
      <w:pPr>
        <w:pStyle w:val="4"/>
        <w:rPr>
          <w:rFonts w:ascii="微软雅黑" w:hAnsi="微软雅黑" w:eastAsia="微软雅黑"/>
          <w:sz w:val="28"/>
          <w:szCs w:val="28"/>
        </w:rPr>
      </w:pPr>
      <w:bookmarkStart w:id="46" w:name="_Toc28882"/>
      <w:bookmarkStart w:id="47" w:name="_Toc516486644"/>
      <w:bookmarkStart w:id="48" w:name="_Toc527105168"/>
      <w:bookmarkStart w:id="49" w:name="_Toc526784157"/>
      <w:r>
        <w:rPr>
          <w:rFonts w:hint="eastAsia" w:ascii="微软雅黑" w:hAnsi="微软雅黑" w:eastAsia="微软雅黑"/>
          <w:sz w:val="28"/>
          <w:szCs w:val="28"/>
        </w:rPr>
        <w:t>2.7投标文件的递交</w:t>
      </w:r>
      <w:bookmarkEnd w:id="46"/>
      <w:bookmarkEnd w:id="47"/>
      <w:bookmarkEnd w:id="48"/>
      <w:bookmarkEnd w:id="49"/>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招标人收到投标文件时间不迟于招标文件中规定的截止时间。</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招标人可以以补充通知等形式推迟投标截止日期，投标人应及时予以响应。在此情况下，投标人的所有权利和义务均应以新的截止日期为准。</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投标人必须严格按照招标文件的要求编制投标文件，明显不符合要求的将被视为废标。</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投标人必须按照招标文件的条件和要求及时提交投标文件，不符的将被视为未提交。</w:t>
      </w:r>
    </w:p>
    <w:p>
      <w:pPr>
        <w:pStyle w:val="26"/>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投标截止日后招标人不接受投标人实质性内容的修改。</w:t>
      </w:r>
    </w:p>
    <w:p>
      <w:pPr>
        <w:spacing w:line="360" w:lineRule="exact"/>
        <w:rPr>
          <w:rFonts w:ascii="微软雅黑" w:hAnsi="微软雅黑" w:eastAsia="微软雅黑"/>
          <w:szCs w:val="21"/>
        </w:rPr>
      </w:pPr>
      <w:r>
        <w:rPr>
          <w:rFonts w:hint="eastAsia" w:ascii="宋体"/>
          <w:sz w:val="24"/>
        </w:rPr>
        <w:t>F.</w:t>
      </w:r>
      <w:r>
        <w:rPr>
          <w:rFonts w:ascii="宋体"/>
          <w:sz w:val="24"/>
        </w:rPr>
        <w:t xml:space="preserve"> </w:t>
      </w:r>
      <w:r>
        <w:rPr>
          <w:rFonts w:hint="eastAsia" w:ascii="微软雅黑" w:hAnsi="微软雅黑" w:eastAsia="微软雅黑"/>
          <w:szCs w:val="21"/>
        </w:rPr>
        <w:t>投标单位应将所有的投标文件清楚注明“正本”或“副本”，装在同一袋中密封。开标前不得开封。</w:t>
      </w:r>
    </w:p>
    <w:p>
      <w:pPr>
        <w:spacing w:line="360" w:lineRule="exact"/>
        <w:ind w:firstLine="420" w:firstLineChars="200"/>
        <w:rPr>
          <w:rFonts w:ascii="微软雅黑" w:hAnsi="微软雅黑" w:eastAsia="微软雅黑"/>
          <w:szCs w:val="21"/>
        </w:rPr>
      </w:pPr>
      <w:r>
        <w:rPr>
          <w:rFonts w:hint="eastAsia" w:ascii="微软雅黑" w:hAnsi="微软雅黑" w:eastAsia="微软雅黑"/>
          <w:szCs w:val="21"/>
          <w:highlight w:val="yellow"/>
        </w:rPr>
        <w:t>投标人需在密封袋上文字注明招标人名称，投标人名称，并加盖投标人公章和法定代表人印鉴做骑缝章。密封袋上下两端应加贴密封条，确保密封袋开口和底部的严密性。加贴的密封条上下翻折的宽度4公分左右。</w:t>
      </w:r>
    </w:p>
    <w:p>
      <w:pPr>
        <w:pStyle w:val="26"/>
        <w:widowControl/>
        <w:spacing w:line="480" w:lineRule="auto"/>
        <w:ind w:firstLine="0" w:firstLineChars="0"/>
        <w:jc w:val="left"/>
        <w:rPr>
          <w:rFonts w:ascii="微软雅黑" w:hAnsi="微软雅黑" w:eastAsia="微软雅黑"/>
          <w:szCs w:val="21"/>
        </w:rPr>
      </w:pPr>
    </w:p>
    <w:p>
      <w:pPr>
        <w:pStyle w:val="4"/>
        <w:rPr>
          <w:rFonts w:ascii="微软雅黑" w:hAnsi="微软雅黑" w:eastAsia="微软雅黑"/>
          <w:sz w:val="28"/>
          <w:szCs w:val="28"/>
        </w:rPr>
      </w:pPr>
      <w:bookmarkStart w:id="50" w:name="_Toc527105169"/>
      <w:bookmarkStart w:id="51" w:name="_Toc1717"/>
      <w:bookmarkStart w:id="52" w:name="_Toc516486645"/>
      <w:bookmarkStart w:id="53" w:name="_Toc526784158"/>
      <w:r>
        <w:rPr>
          <w:rFonts w:hint="eastAsia" w:ascii="微软雅黑" w:hAnsi="微软雅黑" w:eastAsia="微软雅黑"/>
          <w:sz w:val="28"/>
          <w:szCs w:val="28"/>
        </w:rPr>
        <w:t>2.8开标与评标</w:t>
      </w:r>
      <w:bookmarkEnd w:id="50"/>
      <w:bookmarkEnd w:id="51"/>
      <w:bookmarkEnd w:id="52"/>
      <w:bookmarkEnd w:id="53"/>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开标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招标人将自行组建评标小组对投标书进行开标；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有下列情况之一者，作废标处理：</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投标人不具备投标资格的；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没有报价的；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投标书未加盖本单位公章及法定代表人未签字或盖章的（复印件无效）；</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投标书未按规定的格式、内容和要求填写的；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保证金没能在规定日期前到账的；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投标书写潦草、字迹模糊不清难以辨认的；</w:t>
      </w:r>
    </w:p>
    <w:p>
      <w:pPr>
        <w:pStyle w:val="26"/>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没有法人资格证明和法定代表人身份证明或法定代表授权人身份证件的。</w:t>
      </w:r>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评标方法及标准：本次招标采用综合评分法，最高得分者中标。</w:t>
      </w:r>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投标文件的澄清</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在评标期间，评标小组有权要求投标人对其投标文件进行澄清。投标人应派其法人代表或授权代表（接受询标时，应出示其居民身份证）和技术人员按招标人通知的时间和地点接受询标。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评标小组认为有必要的，可要求投标人对某些问题作书面答复。书面答复须由投标人法人代表或授权代表签署，并作为投标文件的补充，参与评标。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并非每个投标人都将被询标。</w:t>
      </w:r>
    </w:p>
    <w:p>
      <w:pPr>
        <w:pStyle w:val="26"/>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评标过程保密</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在宣布中标人之前，凡属于审查、澄清、评价、比较投标文件和中标意向等有关信息，均不得泄露给任何投标人或与评标工作无关的人员。</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投标人不得探听上述信息，不得以任何行为影响评标过程，否则将被废标。</w:t>
      </w:r>
    </w:p>
    <w:p>
      <w:pPr>
        <w:pStyle w:val="26"/>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在评标期间，招标人将指定联络人与投标人进行联络。</w:t>
      </w:r>
    </w:p>
    <w:p>
      <w:pPr>
        <w:pStyle w:val="4"/>
        <w:rPr>
          <w:rFonts w:ascii="微软雅黑" w:hAnsi="微软雅黑" w:eastAsia="微软雅黑"/>
          <w:sz w:val="28"/>
          <w:szCs w:val="28"/>
        </w:rPr>
      </w:pPr>
      <w:bookmarkStart w:id="54" w:name="_Toc516486646"/>
      <w:bookmarkStart w:id="55" w:name="_Toc526784159"/>
      <w:bookmarkStart w:id="56" w:name="_Toc10007"/>
      <w:bookmarkStart w:id="57" w:name="_Toc527105170"/>
      <w:r>
        <w:rPr>
          <w:rFonts w:hint="eastAsia" w:ascii="微软雅黑" w:hAnsi="微软雅黑" w:eastAsia="微软雅黑"/>
          <w:sz w:val="28"/>
          <w:szCs w:val="28"/>
        </w:rPr>
        <w:t>2.9授标及签约</w:t>
      </w:r>
      <w:bookmarkEnd w:id="54"/>
      <w:bookmarkEnd w:id="55"/>
      <w:bookmarkEnd w:id="56"/>
      <w:bookmarkEnd w:id="57"/>
    </w:p>
    <w:p>
      <w:pPr>
        <w:pStyle w:val="26"/>
        <w:widowControl/>
        <w:numPr>
          <w:ilvl w:val="0"/>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招标人有选择中标人和拒绝任何投标的权利</w:t>
      </w:r>
    </w:p>
    <w:p>
      <w:pPr>
        <w:pStyle w:val="26"/>
        <w:widowControl/>
        <w:spacing w:line="480" w:lineRule="auto"/>
        <w:ind w:left="420" w:firstLine="0" w:firstLineChars="0"/>
        <w:jc w:val="left"/>
        <w:rPr>
          <w:rFonts w:ascii="微软雅黑" w:hAnsi="微软雅黑" w:eastAsia="微软雅黑"/>
          <w:szCs w:val="21"/>
        </w:rPr>
      </w:pPr>
      <w:r>
        <w:rPr>
          <w:rFonts w:hint="eastAsia" w:ascii="微软雅黑" w:hAnsi="微软雅黑" w:eastAsia="微软雅黑"/>
          <w:szCs w:val="21"/>
        </w:rPr>
        <w:t>招标人保留在授标之前，根据评标小组的评审意见，有权选择中标人或否决全部投标，并无向投标人解释的义务。</w:t>
      </w:r>
    </w:p>
    <w:p>
      <w:pPr>
        <w:pStyle w:val="26"/>
        <w:widowControl/>
        <w:numPr>
          <w:ilvl w:val="0"/>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签订合同</w:t>
      </w:r>
    </w:p>
    <w:p>
      <w:pPr>
        <w:pStyle w:val="26"/>
        <w:widowControl/>
        <w:spacing w:line="480" w:lineRule="auto"/>
        <w:ind w:left="420" w:leftChars="200" w:firstLine="0" w:firstLineChars="0"/>
        <w:jc w:val="left"/>
        <w:rPr>
          <w:rFonts w:ascii="微软雅黑" w:hAnsi="微软雅黑" w:eastAsia="微软雅黑"/>
          <w:szCs w:val="21"/>
        </w:rPr>
      </w:pPr>
      <w:r>
        <w:rPr>
          <w:rFonts w:hint="eastAsia" w:ascii="微软雅黑" w:hAnsi="微软雅黑" w:eastAsia="微软雅黑"/>
          <w:szCs w:val="21"/>
        </w:rPr>
        <w:t>中标人必须在自收到中标通知后，于通知要求期限内按照招标文件的规定和投标文件的承诺等与招标人签订合同。</w:t>
      </w:r>
    </w:p>
    <w:p>
      <w:pPr>
        <w:pStyle w:val="2"/>
        <w:rPr>
          <w:rFonts w:ascii="微软雅黑" w:hAnsi="微软雅黑" w:eastAsia="微软雅黑"/>
          <w:sz w:val="24"/>
          <w:szCs w:val="24"/>
        </w:rPr>
      </w:pPr>
      <w:bookmarkStart w:id="58" w:name="_Toc516486647"/>
      <w:bookmarkStart w:id="59" w:name="_Toc527105171"/>
      <w:bookmarkStart w:id="60" w:name="_Toc11070"/>
      <w:bookmarkStart w:id="61" w:name="_Toc526784160"/>
      <w:r>
        <w:rPr>
          <w:rFonts w:hint="eastAsia" w:ascii="微软雅黑" w:hAnsi="微软雅黑" w:eastAsia="微软雅黑"/>
          <w:sz w:val="24"/>
          <w:szCs w:val="24"/>
        </w:rPr>
        <w:t>2.9.1投标保证金</w:t>
      </w:r>
      <w:bookmarkEnd w:id="58"/>
      <w:bookmarkEnd w:id="59"/>
      <w:bookmarkEnd w:id="60"/>
      <w:bookmarkEnd w:id="61"/>
    </w:p>
    <w:p>
      <w:pPr>
        <w:pStyle w:val="26"/>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投标保证金的收取</w:t>
      </w:r>
    </w:p>
    <w:p>
      <w:pPr>
        <w:pStyle w:val="26"/>
        <w:widowControl/>
        <w:numPr>
          <w:ilvl w:val="0"/>
          <w:numId w:val="12"/>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投标保证金为人民币</w:t>
      </w:r>
      <w:r>
        <w:rPr>
          <w:rFonts w:ascii="微软雅黑" w:hAnsi="微软雅黑" w:eastAsia="微软雅黑"/>
          <w:szCs w:val="21"/>
          <w:highlight w:val="yellow"/>
        </w:rPr>
        <w:t>5</w:t>
      </w:r>
      <w:r>
        <w:rPr>
          <w:rFonts w:hint="eastAsia" w:ascii="微软雅黑" w:hAnsi="微软雅黑" w:eastAsia="微软雅黑"/>
          <w:szCs w:val="21"/>
          <w:highlight w:val="yellow"/>
        </w:rPr>
        <w:t>仟</w:t>
      </w:r>
      <w:r>
        <w:rPr>
          <w:rFonts w:hint="eastAsia" w:ascii="微软雅黑" w:hAnsi="微软雅黑" w:eastAsia="微软雅黑"/>
          <w:szCs w:val="21"/>
          <w:highlight w:val="yellow"/>
          <w:u w:val="single"/>
        </w:rPr>
        <w:t>元 （大写:伍仟元整）</w:t>
      </w:r>
      <w:r>
        <w:rPr>
          <w:rFonts w:hint="eastAsia" w:ascii="微软雅黑" w:hAnsi="微软雅黑" w:eastAsia="微软雅黑"/>
          <w:szCs w:val="21"/>
          <w:highlight w:val="yellow"/>
        </w:rPr>
        <w:t>。</w:t>
      </w:r>
    </w:p>
    <w:p>
      <w:pPr>
        <w:pStyle w:val="26"/>
        <w:widowControl/>
        <w:numPr>
          <w:ilvl w:val="0"/>
          <w:numId w:val="12"/>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投标保证金缴纳的形式为汇款形式。</w:t>
      </w:r>
    </w:p>
    <w:p>
      <w:pPr>
        <w:pStyle w:val="26"/>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投标保证金的退还</w:t>
      </w:r>
    </w:p>
    <w:p>
      <w:pPr>
        <w:pStyle w:val="26"/>
        <w:widowControl/>
        <w:numPr>
          <w:ilvl w:val="1"/>
          <w:numId w:val="12"/>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招标人授标后</w:t>
      </w:r>
      <w:r>
        <w:rPr>
          <w:rFonts w:hint="eastAsia" w:ascii="微软雅黑" w:hAnsi="微软雅黑" w:eastAsia="微软雅黑"/>
          <w:szCs w:val="21"/>
          <w:highlight w:val="yellow"/>
          <w:u w:val="single"/>
        </w:rPr>
        <w:t>20</w:t>
      </w:r>
      <w:r>
        <w:rPr>
          <w:rFonts w:hint="eastAsia" w:ascii="微软雅黑" w:hAnsi="微软雅黑" w:eastAsia="微软雅黑"/>
          <w:szCs w:val="21"/>
          <w:highlight w:val="yellow"/>
        </w:rPr>
        <w:t>个工作日内，向未中标的投标人退还投标保证金，但不计利息。</w:t>
      </w:r>
    </w:p>
    <w:p>
      <w:pPr>
        <w:pStyle w:val="26"/>
        <w:widowControl/>
        <w:numPr>
          <w:ilvl w:val="1"/>
          <w:numId w:val="12"/>
        </w:numPr>
        <w:spacing w:line="480" w:lineRule="auto"/>
        <w:ind w:firstLineChars="0"/>
        <w:jc w:val="left"/>
        <w:rPr>
          <w:rFonts w:ascii="微软雅黑" w:hAnsi="微软雅黑" w:eastAsia="微软雅黑"/>
          <w:szCs w:val="21"/>
          <w:highlight w:val="yellow"/>
        </w:rPr>
      </w:pPr>
      <w:r>
        <w:rPr>
          <w:rFonts w:hint="eastAsia" w:ascii="微软雅黑" w:hAnsi="微软雅黑" w:eastAsia="微软雅黑"/>
          <w:szCs w:val="21"/>
          <w:highlight w:val="yellow"/>
        </w:rPr>
        <w:t>中标人与招标人签订合同后，投标保证金随首付款退还，但不计利息。</w:t>
      </w:r>
    </w:p>
    <w:p>
      <w:pPr>
        <w:pStyle w:val="26"/>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投标保证金的没收</w:t>
      </w:r>
    </w:p>
    <w:p>
      <w:pPr>
        <w:pStyle w:val="26"/>
        <w:widowControl/>
        <w:numPr>
          <w:ilvl w:val="1"/>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投标人在投标文件有效期内撤回其投标文件。</w:t>
      </w:r>
    </w:p>
    <w:p>
      <w:pPr>
        <w:pStyle w:val="26"/>
        <w:widowControl/>
        <w:numPr>
          <w:ilvl w:val="1"/>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中标人未能在规定期限内签署合同。</w:t>
      </w:r>
    </w:p>
    <w:p>
      <w:pPr>
        <w:pStyle w:val="26"/>
        <w:widowControl/>
        <w:numPr>
          <w:ilvl w:val="1"/>
          <w:numId w:val="12"/>
        </w:numPr>
        <w:spacing w:line="480" w:lineRule="auto"/>
        <w:ind w:firstLineChars="0"/>
        <w:jc w:val="left"/>
        <w:rPr>
          <w:rFonts w:ascii="微软雅黑" w:hAnsi="微软雅黑" w:eastAsia="微软雅黑"/>
          <w:szCs w:val="21"/>
        </w:rPr>
      </w:pPr>
      <w:r>
        <w:rPr>
          <w:rFonts w:ascii="微软雅黑" w:hAnsi="微软雅黑" w:eastAsia="微软雅黑"/>
          <w:szCs w:val="21"/>
        </w:rPr>
        <w:t>投标单位恶意串标或向评标人员行贿等手段影响评标公正性的</w:t>
      </w:r>
      <w:r>
        <w:rPr>
          <w:rFonts w:hint="eastAsia" w:ascii="微软雅黑" w:hAnsi="微软雅黑" w:eastAsia="微软雅黑"/>
          <w:szCs w:val="21"/>
        </w:rPr>
        <w:t>。</w:t>
      </w:r>
      <w:bookmarkStart w:id="62" w:name="_Toc516486648"/>
    </w:p>
    <w:p>
      <w:pPr>
        <w:pStyle w:val="3"/>
        <w:rPr>
          <w:rFonts w:ascii="微软雅黑" w:hAnsi="微软雅黑" w:eastAsia="微软雅黑"/>
          <w:sz w:val="32"/>
          <w:szCs w:val="32"/>
        </w:rPr>
      </w:pPr>
      <w:bookmarkStart w:id="63" w:name="_Toc3223"/>
      <w:bookmarkStart w:id="64" w:name="_Toc526784161"/>
      <w:bookmarkStart w:id="65" w:name="_Toc527105172"/>
      <w:r>
        <w:rPr>
          <w:rFonts w:hint="eastAsia" w:ascii="微软雅黑" w:hAnsi="微软雅黑" w:eastAsia="微软雅黑"/>
          <w:sz w:val="32"/>
          <w:szCs w:val="32"/>
        </w:rPr>
        <w:t>3.招标项目</w:t>
      </w:r>
      <w:r>
        <w:rPr>
          <w:rFonts w:ascii="微软雅黑" w:hAnsi="微软雅黑" w:eastAsia="微软雅黑"/>
          <w:sz w:val="32"/>
          <w:szCs w:val="32"/>
        </w:rPr>
        <w:t>要求</w:t>
      </w:r>
      <w:bookmarkEnd w:id="62"/>
      <w:bookmarkEnd w:id="63"/>
      <w:bookmarkEnd w:id="64"/>
      <w:bookmarkEnd w:id="65"/>
    </w:p>
    <w:p>
      <w:pPr>
        <w:pStyle w:val="4"/>
        <w:rPr>
          <w:rFonts w:ascii="微软雅黑" w:hAnsi="微软雅黑" w:eastAsia="微软雅黑"/>
          <w:sz w:val="28"/>
          <w:szCs w:val="28"/>
        </w:rPr>
      </w:pPr>
      <w:bookmarkStart w:id="66" w:name="_Toc526784162"/>
      <w:bookmarkStart w:id="67" w:name="_Toc1557"/>
      <w:bookmarkStart w:id="68" w:name="_Toc516486649"/>
      <w:bookmarkStart w:id="69" w:name="_Toc527105173"/>
      <w:r>
        <w:rPr>
          <w:rFonts w:hint="eastAsia" w:ascii="微软雅黑" w:hAnsi="微软雅黑" w:eastAsia="微软雅黑"/>
          <w:sz w:val="28"/>
          <w:szCs w:val="28"/>
        </w:rPr>
        <w:t>3.1北国先天下容灾调整项目采购简介及目标</w:t>
      </w:r>
      <w:bookmarkEnd w:id="66"/>
      <w:bookmarkEnd w:id="67"/>
      <w:bookmarkEnd w:id="68"/>
      <w:bookmarkEnd w:id="69"/>
    </w:p>
    <w:p>
      <w:pPr>
        <w:pStyle w:val="2"/>
        <w:rPr>
          <w:rFonts w:ascii="微软雅黑" w:hAnsi="微软雅黑" w:eastAsia="微软雅黑"/>
          <w:sz w:val="24"/>
          <w:szCs w:val="24"/>
        </w:rPr>
      </w:pPr>
      <w:bookmarkStart w:id="70" w:name="_Toc19502"/>
      <w:bookmarkStart w:id="71" w:name="_Toc516486650"/>
      <w:bookmarkStart w:id="72" w:name="_Toc526784163"/>
      <w:bookmarkStart w:id="73" w:name="_Toc527105174"/>
      <w:r>
        <w:rPr>
          <w:rFonts w:hint="eastAsia" w:ascii="微软雅黑" w:hAnsi="微软雅黑" w:eastAsia="微软雅黑"/>
          <w:sz w:val="24"/>
          <w:szCs w:val="24"/>
        </w:rPr>
        <w:t>3.1.1</w:t>
      </w:r>
      <w:r>
        <w:rPr>
          <w:rFonts w:hint="eastAsia" w:ascii="微软雅黑" w:hAnsi="微软雅黑" w:eastAsia="微软雅黑"/>
          <w:sz w:val="24"/>
          <w:szCs w:val="24"/>
          <w:highlight w:val="yellow"/>
        </w:rPr>
        <w:t>北国先天下容灾调整项目</w:t>
      </w:r>
      <w:r>
        <w:rPr>
          <w:rFonts w:hint="eastAsia" w:ascii="微软雅黑" w:hAnsi="微软雅黑" w:eastAsia="微软雅黑"/>
          <w:sz w:val="24"/>
          <w:szCs w:val="24"/>
        </w:rPr>
        <w:t>采购简介</w:t>
      </w:r>
      <w:bookmarkEnd w:id="70"/>
      <w:bookmarkEnd w:id="71"/>
      <w:bookmarkEnd w:id="72"/>
      <w:bookmarkEnd w:id="73"/>
    </w:p>
    <w:p>
      <w:pPr>
        <w:autoSpaceDE w:val="0"/>
        <w:autoSpaceDN w:val="0"/>
        <w:adjustRightInd w:val="0"/>
        <w:spacing w:line="480" w:lineRule="auto"/>
        <w:ind w:firstLine="525" w:firstLineChars="250"/>
        <w:jc w:val="left"/>
        <w:rPr>
          <w:rFonts w:ascii="微软雅黑" w:hAnsi="微软雅黑" w:eastAsia="微软雅黑"/>
          <w:szCs w:val="21"/>
          <w:highlight w:val="yellow"/>
        </w:rPr>
      </w:pPr>
      <w:r>
        <w:rPr>
          <w:rFonts w:hint="eastAsia" w:ascii="微软雅黑" w:hAnsi="微软雅黑" w:eastAsia="微软雅黑"/>
          <w:szCs w:val="21"/>
        </w:rPr>
        <w:t>目前北人信息系统规划为集中部署，数据中心90%的数据和软件系统部署在北国机房。由于设备更新，原有部署的容灾方式已停用，需要调整容灾部署，实现数据容灾保护。本次容灾调整内容为：66个数据库，大小约</w:t>
      </w:r>
      <w:r>
        <w:rPr>
          <w:rFonts w:ascii="微软雅黑" w:hAnsi="微软雅黑" w:eastAsia="微软雅黑"/>
          <w:szCs w:val="21"/>
        </w:rPr>
        <w:t>100</w:t>
      </w:r>
      <w:r>
        <w:rPr>
          <w:rFonts w:hint="eastAsia" w:ascii="微软雅黑" w:hAnsi="微软雅黑" w:eastAsia="微软雅黑"/>
          <w:szCs w:val="21"/>
        </w:rPr>
        <w:t>TB，分布在21台主机。</w:t>
      </w:r>
      <w:r>
        <w:rPr>
          <w:rFonts w:hint="eastAsia" w:ascii="微软雅黑" w:hAnsi="微软雅黑" w:eastAsia="微软雅黑"/>
          <w:szCs w:val="21"/>
          <w:highlight w:val="yellow"/>
        </w:rPr>
        <w:t>为了企业数据安全、保护数据资产，需在不影响应用业务的情况下，将数据以准实时的方式复制到容灾机房。（准实时要求数据时差为秒级一般为5秒以内；复制方式不强制同步，容灾端异常后不影响生产段正常使用。）</w:t>
      </w:r>
    </w:p>
    <w:p>
      <w:pPr>
        <w:pStyle w:val="4"/>
        <w:rPr>
          <w:rFonts w:ascii="微软雅黑" w:hAnsi="微软雅黑" w:eastAsia="微软雅黑"/>
          <w:sz w:val="28"/>
          <w:szCs w:val="28"/>
        </w:rPr>
      </w:pPr>
      <w:bookmarkStart w:id="74" w:name="_Toc148"/>
      <w:bookmarkStart w:id="75" w:name="_Toc516486653"/>
      <w:bookmarkStart w:id="76" w:name="_Toc526784166"/>
      <w:bookmarkStart w:id="77" w:name="_Toc527105177"/>
      <w:r>
        <w:rPr>
          <w:rFonts w:hint="eastAsia" w:ascii="微软雅黑" w:hAnsi="微软雅黑" w:eastAsia="微软雅黑"/>
          <w:sz w:val="28"/>
          <w:szCs w:val="28"/>
        </w:rPr>
        <w:t>3.2招标内容</w:t>
      </w:r>
      <w:r>
        <w:rPr>
          <w:rFonts w:ascii="微软雅黑" w:hAnsi="微软雅黑" w:eastAsia="微软雅黑"/>
          <w:sz w:val="28"/>
          <w:szCs w:val="28"/>
        </w:rPr>
        <w:t>及要求</w:t>
      </w:r>
      <w:bookmarkEnd w:id="74"/>
      <w:bookmarkEnd w:id="75"/>
      <w:bookmarkEnd w:id="76"/>
      <w:bookmarkEnd w:id="77"/>
    </w:p>
    <w:p>
      <w:pPr>
        <w:pStyle w:val="2"/>
        <w:rPr>
          <w:rFonts w:ascii="微软雅黑" w:hAnsi="微软雅黑" w:eastAsia="微软雅黑"/>
          <w:sz w:val="24"/>
          <w:szCs w:val="24"/>
        </w:rPr>
      </w:pPr>
      <w:bookmarkStart w:id="78" w:name="_Toc516486655"/>
      <w:bookmarkStart w:id="79" w:name="_Toc526784168"/>
      <w:bookmarkStart w:id="80" w:name="_Toc527105179"/>
      <w:bookmarkStart w:id="81" w:name="_Toc13311"/>
      <w:r>
        <w:rPr>
          <w:rFonts w:hint="eastAsia" w:ascii="微软雅黑" w:hAnsi="微软雅黑" w:eastAsia="微软雅黑"/>
          <w:sz w:val="24"/>
          <w:szCs w:val="24"/>
        </w:rPr>
        <w:t>3.2.1功能需求</w:t>
      </w:r>
      <w:bookmarkEnd w:id="78"/>
      <w:bookmarkEnd w:id="79"/>
      <w:bookmarkEnd w:id="80"/>
      <w:bookmarkEnd w:id="81"/>
    </w:p>
    <w:p>
      <w:pPr>
        <w:spacing w:line="360" w:lineRule="auto"/>
        <w:ind w:firstLine="420"/>
        <w:rPr>
          <w:rFonts w:ascii="宋体" w:hAnsi="宋体" w:cs="宋体"/>
        </w:rPr>
      </w:pPr>
      <w:bookmarkStart w:id="82" w:name="_Toc516486656"/>
      <w:bookmarkStart w:id="83" w:name="_Toc527105180"/>
      <w:bookmarkStart w:id="84" w:name="_Toc526784169"/>
      <w:r>
        <w:rPr>
          <w:rFonts w:hint="eastAsia" w:ascii="宋体" w:hAnsi="宋体" w:cs="宋体"/>
        </w:rPr>
        <w:t>集团指定业务的数据容灾部署，存储空间约为</w:t>
      </w:r>
      <w:r>
        <w:rPr>
          <w:rFonts w:ascii="宋体" w:hAnsi="宋体" w:cs="宋体"/>
        </w:rPr>
        <w:t>100</w:t>
      </w:r>
      <w:r>
        <w:rPr>
          <w:rFonts w:hint="eastAsia" w:ascii="宋体" w:hAnsi="宋体" w:cs="宋体"/>
        </w:rPr>
        <w:t>TB，数据库包含：66个。</w:t>
      </w:r>
    </w:p>
    <w:p>
      <w:pPr>
        <w:spacing w:line="360" w:lineRule="auto"/>
        <w:ind w:firstLine="420"/>
        <w:rPr>
          <w:rFonts w:ascii="宋体" w:hAnsi="宋体" w:cs="宋体"/>
        </w:rPr>
      </w:pPr>
      <w:r>
        <w:rPr>
          <w:rFonts w:hint="eastAsia" w:ascii="宋体" w:hAnsi="宋体" w:cs="宋体"/>
        </w:rPr>
        <w:t>主要需求项列表如下：</w:t>
      </w:r>
    </w:p>
    <w:tbl>
      <w:tblPr>
        <w:tblStyle w:val="14"/>
        <w:tblW w:w="8670" w:type="dxa"/>
        <w:tblInd w:w="520" w:type="dxa"/>
        <w:tblLayout w:type="autofit"/>
        <w:tblCellMar>
          <w:top w:w="0" w:type="dxa"/>
          <w:left w:w="108" w:type="dxa"/>
          <w:bottom w:w="0" w:type="dxa"/>
          <w:right w:w="108" w:type="dxa"/>
        </w:tblCellMar>
      </w:tblPr>
      <w:tblGrid>
        <w:gridCol w:w="820"/>
        <w:gridCol w:w="1360"/>
        <w:gridCol w:w="3950"/>
        <w:gridCol w:w="1020"/>
        <w:gridCol w:w="1520"/>
      </w:tblGrid>
      <w:tr>
        <w:tblPrEx>
          <w:tblCellMar>
            <w:top w:w="0" w:type="dxa"/>
            <w:left w:w="108" w:type="dxa"/>
            <w:bottom w:w="0" w:type="dxa"/>
            <w:right w:w="108" w:type="dxa"/>
          </w:tblCellMar>
        </w:tblPrEx>
        <w:trPr>
          <w:trHeight w:val="300"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center"/>
              <w:textAlignment w:val="bottom"/>
              <w:rPr>
                <w:rFonts w:ascii="宋体" w:hAnsi="宋体" w:cs="宋体"/>
                <w:b/>
                <w:bCs/>
                <w:color w:val="000000"/>
                <w:sz w:val="24"/>
              </w:rPr>
            </w:pPr>
            <w:r>
              <w:rPr>
                <w:rFonts w:hint="eastAsia" w:ascii="宋体" w:hAnsi="宋体" w:cs="宋体"/>
                <w:b/>
                <w:bCs/>
                <w:color w:val="000000"/>
                <w:kern w:val="0"/>
                <w:sz w:val="24"/>
                <w:lang w:bidi="ar"/>
              </w:rPr>
              <w:t>序号</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宋体" w:hAnsi="宋体" w:cs="宋体"/>
                <w:b/>
                <w:bCs/>
                <w:color w:val="000000"/>
                <w:sz w:val="24"/>
              </w:rPr>
            </w:pPr>
            <w:r>
              <w:rPr>
                <w:rFonts w:hint="eastAsia" w:ascii="宋体" w:hAnsi="宋体" w:cs="宋体"/>
                <w:b/>
                <w:bCs/>
                <w:color w:val="000000"/>
                <w:kern w:val="0"/>
                <w:sz w:val="24"/>
                <w:lang w:bidi="ar"/>
              </w:rPr>
              <w:t>新设备</w:t>
            </w:r>
          </w:p>
        </w:tc>
        <w:tc>
          <w:tcPr>
            <w:tcW w:w="39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宋体" w:hAnsi="宋体" w:cs="宋体"/>
                <w:b/>
                <w:bCs/>
                <w:color w:val="000000"/>
                <w:sz w:val="24"/>
              </w:rPr>
            </w:pPr>
            <w:r>
              <w:rPr>
                <w:rFonts w:hint="eastAsia" w:ascii="宋体" w:hAnsi="宋体" w:cs="宋体"/>
                <w:b/>
                <w:bCs/>
                <w:color w:val="000000"/>
                <w:kern w:val="0"/>
                <w:sz w:val="24"/>
                <w:lang w:bidi="ar"/>
              </w:rPr>
              <w:t>配置</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center"/>
              <w:textAlignment w:val="bottom"/>
              <w:rPr>
                <w:rFonts w:ascii="宋体" w:hAnsi="宋体" w:cs="宋体"/>
                <w:b/>
                <w:bCs/>
                <w:color w:val="000000"/>
                <w:sz w:val="24"/>
              </w:rPr>
            </w:pPr>
            <w:r>
              <w:rPr>
                <w:rFonts w:hint="eastAsia" w:ascii="宋体" w:hAnsi="宋体" w:cs="宋体"/>
                <w:b/>
                <w:bCs/>
                <w:color w:val="000000"/>
                <w:kern w:val="0"/>
                <w:sz w:val="24"/>
                <w:lang w:bidi="ar"/>
              </w:rPr>
              <w:t>数量</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center"/>
              <w:textAlignment w:val="bottom"/>
              <w:rPr>
                <w:rFonts w:ascii="宋体" w:hAnsi="宋体" w:cs="宋体"/>
                <w:b/>
                <w:bCs/>
                <w:color w:val="000000"/>
                <w:kern w:val="0"/>
                <w:sz w:val="24"/>
                <w:lang w:bidi="ar"/>
              </w:rPr>
            </w:pPr>
            <w:r>
              <w:rPr>
                <w:rFonts w:hint="eastAsia" w:ascii="宋体" w:hAnsi="宋体" w:cs="宋体"/>
                <w:b/>
                <w:bCs/>
                <w:color w:val="000000"/>
                <w:kern w:val="0"/>
                <w:sz w:val="24"/>
                <w:lang w:bidi="ar"/>
              </w:rPr>
              <w:t>说明</w:t>
            </w:r>
          </w:p>
        </w:tc>
      </w:tr>
      <w:tr>
        <w:tblPrEx>
          <w:tblCellMar>
            <w:top w:w="0" w:type="dxa"/>
            <w:left w:w="108" w:type="dxa"/>
            <w:bottom w:w="0" w:type="dxa"/>
            <w:right w:w="108" w:type="dxa"/>
          </w:tblCellMar>
        </w:tblPrEx>
        <w:trPr>
          <w:trHeight w:val="600" w:hRule="atLeast"/>
        </w:trPr>
        <w:tc>
          <w:tcPr>
            <w:tcW w:w="8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center"/>
              <w:textAlignment w:val="bottom"/>
              <w:rPr>
                <w:rFonts w:ascii="宋体" w:hAnsi="宋体" w:cs="宋体"/>
                <w:color w:val="000000"/>
                <w:sz w:val="24"/>
              </w:rPr>
            </w:pPr>
            <w:r>
              <w:rPr>
                <w:rFonts w:hint="eastAsia" w:ascii="宋体" w:hAnsi="宋体" w:cs="宋体"/>
                <w:color w:val="000000"/>
                <w:kern w:val="0"/>
                <w:sz w:val="24"/>
                <w:lang w:bidi="ar"/>
              </w:rPr>
              <w:t>1</w:t>
            </w:r>
          </w:p>
        </w:tc>
        <w:tc>
          <w:tcPr>
            <w:tcW w:w="13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宋体" w:hAnsi="宋体" w:cs="宋体"/>
                <w:color w:val="000000"/>
                <w:sz w:val="24"/>
              </w:rPr>
            </w:pPr>
            <w:r>
              <w:rPr>
                <w:rFonts w:hint="eastAsia" w:ascii="宋体" w:hAnsi="宋体" w:cs="宋体"/>
                <w:color w:val="000000"/>
                <w:kern w:val="0"/>
                <w:sz w:val="24"/>
                <w:lang w:bidi="ar"/>
              </w:rPr>
              <w:t>容灾主机利旧升级</w:t>
            </w:r>
          </w:p>
        </w:tc>
        <w:tc>
          <w:tcPr>
            <w:tcW w:w="3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Style w:val="44"/>
                <w:rFonts w:hint="default"/>
                <w:lang w:bidi="ar"/>
              </w:rPr>
              <w:t>2 * 16GB  FC-HBA口，包含安装升级服务，升级后系统和数据库为可用状态；</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center"/>
              <w:textAlignment w:val="bottom"/>
              <w:rPr>
                <w:rFonts w:ascii="宋体" w:hAnsi="宋体" w:cs="宋体"/>
                <w:color w:val="000000"/>
                <w:sz w:val="24"/>
              </w:rPr>
            </w:pPr>
            <w:r>
              <w:rPr>
                <w:rFonts w:hint="eastAsia" w:ascii="宋体" w:hAnsi="宋体" w:cs="宋体"/>
                <w:color w:val="000000"/>
                <w:kern w:val="0"/>
                <w:sz w:val="24"/>
                <w:lang w:bidi="ar"/>
              </w:rPr>
              <w:t>12</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center"/>
              <w:textAlignment w:val="bottom"/>
              <w:rPr>
                <w:rFonts w:ascii="宋体" w:hAnsi="宋体" w:cs="宋体"/>
                <w:color w:val="000000"/>
                <w:kern w:val="0"/>
                <w:sz w:val="24"/>
                <w:lang w:bidi="ar"/>
              </w:rPr>
            </w:pPr>
            <w:r>
              <w:rPr>
                <w:rFonts w:hint="eastAsia" w:ascii="宋体" w:hAnsi="宋体" w:cs="宋体"/>
                <w:color w:val="000000"/>
                <w:kern w:val="0"/>
                <w:sz w:val="24"/>
                <w:lang w:bidi="ar"/>
              </w:rPr>
              <w:t>需重新安装操作系统及数据库</w:t>
            </w:r>
          </w:p>
        </w:tc>
      </w:tr>
      <w:tr>
        <w:tblPrEx>
          <w:tblCellMar>
            <w:top w:w="0" w:type="dxa"/>
            <w:left w:w="108" w:type="dxa"/>
            <w:bottom w:w="0" w:type="dxa"/>
            <w:right w:w="108" w:type="dxa"/>
          </w:tblCellMar>
        </w:tblPrEx>
        <w:trPr>
          <w:trHeight w:val="900" w:hRule="atLeast"/>
        </w:trPr>
        <w:tc>
          <w:tcPr>
            <w:tcW w:w="820" w:type="dxa"/>
            <w:tcBorders>
              <w:top w:val="single" w:color="000000" w:sz="4" w:space="0"/>
              <w:left w:val="single" w:color="000000" w:sz="4" w:space="0"/>
              <w:bottom w:val="single" w:color="auto" w:sz="4" w:space="0"/>
              <w:right w:val="single" w:color="000000" w:sz="4" w:space="0"/>
            </w:tcBorders>
            <w:shd w:val="clear" w:color="auto" w:fill="auto"/>
            <w:vAlign w:val="bottom"/>
          </w:tcPr>
          <w:p>
            <w:pPr>
              <w:widowControl/>
              <w:jc w:val="center"/>
              <w:textAlignment w:val="bottom"/>
              <w:rPr>
                <w:rFonts w:ascii="宋体" w:hAnsi="宋体" w:cs="宋体"/>
                <w:color w:val="000000"/>
                <w:sz w:val="24"/>
              </w:rPr>
            </w:pPr>
            <w:r>
              <w:rPr>
                <w:rFonts w:hint="eastAsia" w:ascii="宋体" w:hAnsi="宋体" w:cs="宋体"/>
                <w:color w:val="000000"/>
                <w:kern w:val="0"/>
                <w:sz w:val="24"/>
                <w:lang w:bidi="ar"/>
              </w:rPr>
              <w:t>2</w:t>
            </w:r>
          </w:p>
        </w:tc>
        <w:tc>
          <w:tcPr>
            <w:tcW w:w="1360" w:type="dxa"/>
            <w:tcBorders>
              <w:top w:val="single" w:color="000000" w:sz="4" w:space="0"/>
              <w:left w:val="single" w:color="000000" w:sz="4" w:space="0"/>
              <w:bottom w:val="single" w:color="auto" w:sz="4" w:space="0"/>
              <w:right w:val="single" w:color="000000" w:sz="4" w:space="0"/>
            </w:tcBorders>
            <w:shd w:val="clear" w:color="auto" w:fill="auto"/>
            <w:vAlign w:val="bottom"/>
          </w:tcPr>
          <w:p>
            <w:pPr>
              <w:widowControl/>
              <w:jc w:val="left"/>
              <w:textAlignment w:val="bottom"/>
              <w:rPr>
                <w:rFonts w:ascii="宋体" w:hAnsi="宋体" w:cs="宋体"/>
                <w:color w:val="000000"/>
                <w:sz w:val="24"/>
              </w:rPr>
            </w:pPr>
            <w:r>
              <w:rPr>
                <w:rFonts w:hint="eastAsia" w:ascii="宋体" w:hAnsi="宋体" w:cs="宋体"/>
                <w:color w:val="000000"/>
                <w:kern w:val="0"/>
                <w:sz w:val="24"/>
                <w:lang w:bidi="ar"/>
              </w:rPr>
              <w:t>内存</w:t>
            </w:r>
          </w:p>
        </w:tc>
        <w:tc>
          <w:tcPr>
            <w:tcW w:w="3950"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8*32G内存,包含安装升级服务；升级后两两做集群，极端情况1台对应4台主机；</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升级后系统和数据库可用状态；</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center"/>
              <w:textAlignment w:val="bottom"/>
              <w:rPr>
                <w:rFonts w:ascii="宋体" w:hAnsi="宋体" w:cs="宋体"/>
                <w:color w:val="000000"/>
                <w:sz w:val="24"/>
              </w:rPr>
            </w:pPr>
            <w:r>
              <w:rPr>
                <w:rFonts w:hint="eastAsia" w:ascii="宋体" w:hAnsi="宋体" w:cs="宋体"/>
                <w:color w:val="000000"/>
                <w:kern w:val="0"/>
                <w:sz w:val="24"/>
                <w:lang w:bidi="ar"/>
              </w:rPr>
              <w:t>12</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textAlignment w:val="bottom"/>
              <w:rPr>
                <w:rFonts w:ascii="宋体" w:hAnsi="宋体" w:cs="宋体"/>
                <w:color w:val="000000"/>
                <w:kern w:val="0"/>
                <w:sz w:val="24"/>
                <w:lang w:bidi="ar"/>
              </w:rPr>
            </w:pPr>
            <w:r>
              <w:rPr>
                <w:rFonts w:hint="eastAsia" w:ascii="宋体" w:hAnsi="宋体" w:cs="宋体"/>
                <w:color w:val="000000"/>
                <w:kern w:val="0"/>
                <w:sz w:val="24"/>
                <w:lang w:bidi="ar"/>
              </w:rPr>
              <w:t>需重新配置集群</w:t>
            </w:r>
          </w:p>
        </w:tc>
      </w:tr>
      <w:tr>
        <w:tblPrEx>
          <w:tblCellMar>
            <w:top w:w="0" w:type="dxa"/>
            <w:left w:w="108" w:type="dxa"/>
            <w:bottom w:w="0" w:type="dxa"/>
            <w:right w:w="108" w:type="dxa"/>
          </w:tblCellMar>
        </w:tblPrEx>
        <w:trPr>
          <w:trHeight w:val="1500" w:hRule="atLeast"/>
        </w:trPr>
        <w:tc>
          <w:tcPr>
            <w:tcW w:w="820"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center"/>
              <w:textAlignment w:val="bottom"/>
              <w:rPr>
                <w:rFonts w:ascii="宋体" w:hAnsi="宋体" w:cs="宋体"/>
                <w:color w:val="000000"/>
                <w:sz w:val="24"/>
              </w:rPr>
            </w:pPr>
            <w:r>
              <w:rPr>
                <w:rFonts w:hint="eastAsia" w:ascii="宋体" w:hAnsi="宋体" w:cs="宋体"/>
                <w:color w:val="000000"/>
                <w:kern w:val="0"/>
                <w:sz w:val="24"/>
                <w:lang w:bidi="ar"/>
              </w:rPr>
              <w:t>3</w:t>
            </w:r>
          </w:p>
        </w:tc>
        <w:tc>
          <w:tcPr>
            <w:tcW w:w="1360" w:type="dxa"/>
            <w:tcBorders>
              <w:top w:val="single" w:color="auto" w:sz="4" w:space="0"/>
              <w:left w:val="single" w:color="auto" w:sz="4" w:space="0"/>
              <w:bottom w:val="single" w:color="auto" w:sz="4" w:space="0"/>
              <w:right w:val="single" w:color="auto" w:sz="4" w:space="0"/>
            </w:tcBorders>
            <w:shd w:val="clear" w:color="auto" w:fill="auto"/>
            <w:vAlign w:val="bottom"/>
          </w:tcPr>
          <w:p>
            <w:pPr>
              <w:widowControl/>
              <w:jc w:val="left"/>
              <w:textAlignment w:val="bottom"/>
              <w:rPr>
                <w:rFonts w:ascii="宋体" w:hAnsi="宋体" w:cs="宋体"/>
                <w:color w:val="000000"/>
                <w:sz w:val="24"/>
              </w:rPr>
            </w:pPr>
            <w:r>
              <w:rPr>
                <w:rFonts w:hint="eastAsia" w:ascii="宋体" w:hAnsi="宋体" w:cs="宋体"/>
                <w:color w:val="000000"/>
                <w:kern w:val="0"/>
                <w:sz w:val="24"/>
                <w:lang w:bidi="ar"/>
              </w:rPr>
              <w:t>服务</w:t>
            </w:r>
          </w:p>
        </w:tc>
        <w:tc>
          <w:tcPr>
            <w:tcW w:w="39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66个数据库复制实施、服务，要求数据能够以准实时的方式传输到容灾端；</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容灾集群配置，配置完成设备故障不影响数据复制；</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容灾复制监控系统建设部署；</w:t>
            </w:r>
          </w:p>
        </w:tc>
        <w:tc>
          <w:tcPr>
            <w:tcW w:w="1020" w:type="dxa"/>
            <w:tcBorders>
              <w:top w:val="single" w:color="000000" w:sz="4" w:space="0"/>
              <w:left w:val="single" w:color="auto" w:sz="4" w:space="0"/>
              <w:bottom w:val="single" w:color="000000" w:sz="4" w:space="0"/>
              <w:right w:val="single" w:color="000000" w:sz="4" w:space="0"/>
            </w:tcBorders>
            <w:shd w:val="clear" w:color="auto" w:fill="auto"/>
            <w:vAlign w:val="bottom"/>
          </w:tcPr>
          <w:p>
            <w:pPr>
              <w:widowControl/>
              <w:jc w:val="center"/>
              <w:textAlignment w:val="bottom"/>
              <w:rPr>
                <w:rFonts w:ascii="宋体" w:hAnsi="宋体" w:cs="宋体"/>
                <w:color w:val="000000"/>
                <w:sz w:val="24"/>
              </w:rPr>
            </w:pPr>
            <w:r>
              <w:rPr>
                <w:rFonts w:hint="eastAsia" w:ascii="宋体" w:hAnsi="宋体" w:cs="宋体"/>
                <w:color w:val="000000"/>
                <w:kern w:val="0"/>
                <w:sz w:val="24"/>
                <w:lang w:bidi="ar"/>
              </w:rPr>
              <w:t>1</w:t>
            </w:r>
          </w:p>
        </w:tc>
        <w:tc>
          <w:tcPr>
            <w:tcW w:w="152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center"/>
              <w:textAlignment w:val="bottom"/>
              <w:rPr>
                <w:rFonts w:ascii="宋体" w:hAnsi="宋体" w:cs="宋体"/>
                <w:color w:val="000000"/>
                <w:kern w:val="0"/>
                <w:sz w:val="24"/>
                <w:lang w:bidi="ar"/>
              </w:rPr>
            </w:pPr>
            <w:r>
              <w:rPr>
                <w:rFonts w:hint="eastAsia" w:ascii="宋体" w:hAnsi="宋体" w:cs="宋体"/>
                <w:color w:val="000000"/>
                <w:kern w:val="0"/>
                <w:sz w:val="24"/>
                <w:lang w:bidi="ar"/>
              </w:rPr>
              <w:t>数据库数据复制部署及数据复制监控软件</w:t>
            </w:r>
          </w:p>
        </w:tc>
      </w:tr>
    </w:tbl>
    <w:p>
      <w:pPr>
        <w:spacing w:line="360" w:lineRule="auto"/>
        <w:ind w:firstLine="420"/>
        <w:rPr>
          <w:rFonts w:ascii="宋体" w:hAnsi="宋体" w:cs="宋体"/>
        </w:rPr>
      </w:pPr>
    </w:p>
    <w:p>
      <w:pPr>
        <w:spacing w:line="360" w:lineRule="auto"/>
        <w:ind w:firstLine="420"/>
        <w:rPr>
          <w:rFonts w:ascii="宋体" w:hAnsi="宋体" w:cs="宋体"/>
        </w:rPr>
      </w:pPr>
      <w:r>
        <w:rPr>
          <w:rFonts w:hint="eastAsia" w:ascii="微软雅黑" w:hAnsi="微软雅黑" w:eastAsia="微软雅黑"/>
          <w:szCs w:val="21"/>
          <w:highlight w:val="yellow"/>
        </w:rPr>
        <w:t>北国先天下容灾调整项目工作</w:t>
      </w:r>
      <w:r>
        <w:rPr>
          <w:rFonts w:hint="eastAsia" w:ascii="宋体" w:hAnsi="宋体" w:cs="宋体"/>
        </w:rPr>
        <w:t>目标：</w:t>
      </w:r>
    </w:p>
    <w:p>
      <w:pPr>
        <w:spacing w:line="360" w:lineRule="auto"/>
        <w:rPr>
          <w:rFonts w:ascii="宋体" w:hAnsi="宋体" w:cs="宋体"/>
        </w:rPr>
      </w:pPr>
      <w:r>
        <w:rPr>
          <w:rFonts w:hint="eastAsia" w:ascii="宋体" w:hAnsi="宋体" w:cs="宋体"/>
        </w:rPr>
        <w:t>1.完成设备的配件及系统升级,重新部署操作系统及数据库，要求达到升级配件效果，运行稳定。</w:t>
      </w:r>
    </w:p>
    <w:p>
      <w:pPr>
        <w:spacing w:line="360" w:lineRule="auto"/>
        <w:rPr>
          <w:rFonts w:ascii="宋体" w:hAnsi="宋体" w:cs="宋体"/>
        </w:rPr>
      </w:pPr>
      <w:r>
        <w:rPr>
          <w:rFonts w:hint="eastAsia" w:ascii="宋体" w:hAnsi="宋体" w:cs="宋体"/>
        </w:rPr>
        <w:t>2.完成容灾端集群部署，实现双机互备。</w:t>
      </w:r>
      <w:r>
        <w:rPr>
          <w:rFonts w:hint="eastAsia" w:ascii="宋体" w:hAnsi="宋体" w:cs="宋体"/>
        </w:rPr>
        <w:br w:type="textWrapping"/>
      </w:r>
      <w:r>
        <w:rPr>
          <w:rFonts w:hint="eastAsia" w:ascii="宋体" w:hAnsi="宋体" w:cs="宋体"/>
        </w:rPr>
        <w:t>3.实现所要求业务数据库数据容灾，正常运行中数据差异不超过5秒；</w:t>
      </w:r>
      <w:r>
        <w:rPr>
          <w:rFonts w:hint="eastAsia" w:ascii="宋体" w:hAnsi="宋体" w:cs="宋体"/>
        </w:rPr>
        <w:br w:type="textWrapping"/>
      </w:r>
      <w:r>
        <w:rPr>
          <w:rFonts w:hint="eastAsia" w:ascii="宋体" w:hAnsi="宋体" w:cs="宋体"/>
        </w:rPr>
        <w:t>4.部署容灾监控管理系统，要求：能够在统一的图形界面监测容灾状态；自定义分组管理，实现不同业务的分组；容灾监控系统除了当前容灾状态，还需具有容灾状态历史记录可查。</w:t>
      </w:r>
      <w:r>
        <w:rPr>
          <w:rFonts w:hint="eastAsia" w:ascii="宋体" w:hAnsi="宋体" w:cs="宋体"/>
        </w:rPr>
        <w:br w:type="textWrapping"/>
      </w:r>
    </w:p>
    <w:p>
      <w:pPr>
        <w:pStyle w:val="2"/>
        <w:rPr>
          <w:rFonts w:ascii="微软雅黑" w:hAnsi="微软雅黑" w:eastAsia="微软雅黑"/>
          <w:sz w:val="21"/>
          <w:szCs w:val="21"/>
        </w:rPr>
      </w:pPr>
      <w:bookmarkStart w:id="85" w:name="_Toc14811"/>
      <w:r>
        <w:rPr>
          <w:rFonts w:hint="eastAsia" w:ascii="微软雅黑" w:hAnsi="微软雅黑" w:eastAsia="微软雅黑"/>
          <w:sz w:val="21"/>
          <w:szCs w:val="21"/>
        </w:rPr>
        <w:t>实施要求：</w:t>
      </w:r>
      <w:bookmarkEnd w:id="85"/>
    </w:p>
    <w:p>
      <w:pPr>
        <w:numPr>
          <w:ilvl w:val="0"/>
          <w:numId w:val="13"/>
        </w:numPr>
        <w:rPr>
          <w:rFonts w:ascii="微软雅黑" w:hAnsi="微软雅黑" w:eastAsia="微软雅黑"/>
          <w:szCs w:val="21"/>
        </w:rPr>
      </w:pPr>
      <w:r>
        <w:rPr>
          <w:rFonts w:hint="eastAsia" w:ascii="微软雅黑" w:hAnsi="微软雅黑" w:eastAsia="微软雅黑"/>
          <w:szCs w:val="21"/>
        </w:rPr>
        <w:t>项目实施工作不影响业务系统日常运行。</w:t>
      </w:r>
    </w:p>
    <w:p>
      <w:pPr>
        <w:numPr>
          <w:ilvl w:val="0"/>
          <w:numId w:val="13"/>
        </w:numPr>
        <w:rPr>
          <w:rFonts w:ascii="微软雅黑" w:hAnsi="微软雅黑" w:eastAsia="微软雅黑"/>
          <w:szCs w:val="21"/>
        </w:rPr>
      </w:pPr>
      <w:r>
        <w:rPr>
          <w:rFonts w:hint="eastAsia" w:ascii="微软雅黑" w:hAnsi="微软雅黑" w:eastAsia="微软雅黑"/>
          <w:szCs w:val="21"/>
        </w:rPr>
        <w:t>项目实施工作必须保证数据安全，数据零丢失。</w:t>
      </w:r>
    </w:p>
    <w:p>
      <w:pPr>
        <w:numPr>
          <w:ilvl w:val="0"/>
          <w:numId w:val="13"/>
        </w:numPr>
        <w:rPr>
          <w:rFonts w:ascii="微软雅黑" w:hAnsi="微软雅黑" w:eastAsia="微软雅黑"/>
          <w:szCs w:val="21"/>
        </w:rPr>
      </w:pPr>
      <w:r>
        <w:rPr>
          <w:rFonts w:hint="eastAsia" w:ascii="微软雅黑" w:hAnsi="微软雅黑" w:eastAsia="微软雅黑"/>
          <w:szCs w:val="21"/>
        </w:rPr>
        <w:t>项目实施工作遵循现有系统设计部署方式，可适当给出调整优化建议。</w:t>
      </w:r>
    </w:p>
    <w:p/>
    <w:p>
      <w:pPr>
        <w:pStyle w:val="2"/>
        <w:rPr>
          <w:rFonts w:ascii="微软雅黑" w:hAnsi="微软雅黑" w:eastAsia="微软雅黑"/>
          <w:sz w:val="24"/>
          <w:szCs w:val="24"/>
        </w:rPr>
      </w:pPr>
      <w:bookmarkStart w:id="86" w:name="_Toc21024"/>
      <w:r>
        <w:rPr>
          <w:rFonts w:hint="eastAsia" w:ascii="微软雅黑" w:hAnsi="微软雅黑" w:eastAsia="微软雅黑"/>
          <w:sz w:val="24"/>
          <w:szCs w:val="24"/>
        </w:rPr>
        <w:t>3.2.2技术要求</w:t>
      </w:r>
      <w:bookmarkEnd w:id="82"/>
      <w:r>
        <w:rPr>
          <w:rFonts w:hint="eastAsia" w:ascii="微软雅黑" w:hAnsi="微软雅黑" w:eastAsia="微软雅黑"/>
          <w:sz w:val="24"/>
          <w:szCs w:val="24"/>
        </w:rPr>
        <w:t>及服务要求</w:t>
      </w:r>
      <w:bookmarkEnd w:id="83"/>
      <w:bookmarkEnd w:id="84"/>
      <w:r>
        <w:rPr>
          <w:rFonts w:hint="eastAsia" w:ascii="微软雅黑" w:hAnsi="微软雅黑" w:eastAsia="微软雅黑"/>
          <w:sz w:val="24"/>
          <w:szCs w:val="24"/>
        </w:rPr>
        <w:t>（偏离表）</w:t>
      </w:r>
      <w:bookmarkEnd w:id="86"/>
    </w:p>
    <w:tbl>
      <w:tblPr>
        <w:tblStyle w:val="14"/>
        <w:tblW w:w="9242" w:type="dxa"/>
        <w:tblInd w:w="98" w:type="dxa"/>
        <w:tblLayout w:type="fixed"/>
        <w:tblCellMar>
          <w:top w:w="0" w:type="dxa"/>
          <w:left w:w="108" w:type="dxa"/>
          <w:bottom w:w="0" w:type="dxa"/>
          <w:right w:w="108" w:type="dxa"/>
        </w:tblCellMar>
      </w:tblPr>
      <w:tblGrid>
        <w:gridCol w:w="752"/>
        <w:gridCol w:w="1740"/>
        <w:gridCol w:w="5550"/>
        <w:gridCol w:w="1200"/>
      </w:tblGrid>
      <w:tr>
        <w:tblPrEx>
          <w:tblCellMar>
            <w:top w:w="0" w:type="dxa"/>
            <w:left w:w="108" w:type="dxa"/>
            <w:bottom w:w="0" w:type="dxa"/>
            <w:right w:w="108" w:type="dxa"/>
          </w:tblCellMar>
        </w:tblPrEx>
        <w:trPr>
          <w:trHeight w:val="300" w:hRule="atLeast"/>
        </w:trPr>
        <w:tc>
          <w:tcPr>
            <w:tcW w:w="75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center"/>
              <w:textAlignment w:val="bottom"/>
              <w:rPr>
                <w:rFonts w:ascii="宋体" w:hAnsi="宋体" w:cs="宋体"/>
                <w:b/>
                <w:bCs/>
                <w:color w:val="000000"/>
                <w:sz w:val="24"/>
              </w:rPr>
            </w:pPr>
            <w:r>
              <w:rPr>
                <w:rFonts w:hint="eastAsia" w:ascii="宋体" w:hAnsi="宋体" w:cs="宋体"/>
                <w:b/>
                <w:bCs/>
                <w:color w:val="000000"/>
                <w:kern w:val="0"/>
                <w:sz w:val="24"/>
                <w:lang w:bidi="ar"/>
              </w:rPr>
              <w:t>序号</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宋体" w:hAnsi="宋体" w:cs="宋体"/>
                <w:b/>
                <w:bCs/>
                <w:color w:val="000000"/>
                <w:sz w:val="24"/>
              </w:rPr>
            </w:pPr>
            <w:r>
              <w:rPr>
                <w:rFonts w:hint="eastAsia" w:ascii="宋体" w:hAnsi="宋体" w:cs="宋体"/>
                <w:b/>
                <w:bCs/>
                <w:color w:val="000000"/>
                <w:kern w:val="0"/>
                <w:sz w:val="24"/>
                <w:lang w:bidi="ar"/>
              </w:rPr>
              <w:t>项目</w:t>
            </w: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left"/>
              <w:textAlignment w:val="bottom"/>
              <w:rPr>
                <w:rFonts w:ascii="宋体" w:hAnsi="宋体" w:cs="宋体"/>
                <w:b/>
                <w:bCs/>
                <w:color w:val="000000"/>
                <w:sz w:val="24"/>
              </w:rPr>
            </w:pPr>
            <w:r>
              <w:rPr>
                <w:rFonts w:hint="eastAsia" w:ascii="宋体" w:hAnsi="宋体" w:cs="宋体"/>
                <w:b/>
                <w:bCs/>
                <w:color w:val="000000"/>
                <w:kern w:val="0"/>
                <w:sz w:val="24"/>
                <w:lang w:bidi="ar"/>
              </w:rPr>
              <w:t>技术参数要求</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center"/>
              <w:textAlignment w:val="bottom"/>
              <w:rPr>
                <w:rFonts w:ascii="宋体" w:hAnsi="宋体" w:cs="宋体"/>
                <w:b/>
                <w:bCs/>
                <w:color w:val="000000"/>
                <w:sz w:val="24"/>
              </w:rPr>
            </w:pPr>
            <w:r>
              <w:rPr>
                <w:rFonts w:hint="eastAsia" w:ascii="宋体" w:hAnsi="宋体" w:cs="宋体"/>
                <w:b/>
                <w:bCs/>
                <w:color w:val="000000"/>
                <w:kern w:val="0"/>
                <w:sz w:val="24"/>
                <w:lang w:bidi="ar"/>
              </w:rPr>
              <w:t>是否符合</w:t>
            </w:r>
          </w:p>
        </w:tc>
      </w:tr>
      <w:tr>
        <w:tblPrEx>
          <w:tblCellMar>
            <w:top w:w="0" w:type="dxa"/>
            <w:left w:w="108" w:type="dxa"/>
            <w:bottom w:w="0" w:type="dxa"/>
            <w:right w:w="108" w:type="dxa"/>
          </w:tblCellMar>
        </w:tblPrEx>
        <w:trPr>
          <w:trHeight w:val="300" w:hRule="atLeast"/>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4"/>
              </w:rPr>
            </w:pPr>
            <w:r>
              <w:rPr>
                <w:rFonts w:hint="eastAsia" w:ascii="宋体" w:hAnsi="宋体" w:cs="宋体"/>
                <w:color w:val="000000"/>
                <w:kern w:val="0"/>
                <w:sz w:val="24"/>
                <w:lang w:bidi="ar"/>
              </w:rPr>
              <w:t>1</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4"/>
              </w:rPr>
            </w:pPr>
            <w:r>
              <w:rPr>
                <w:rFonts w:hint="eastAsia" w:ascii="宋体" w:hAnsi="宋体" w:cs="宋体"/>
                <w:color w:val="000000"/>
                <w:kern w:val="0"/>
                <w:sz w:val="24"/>
                <w:lang w:bidi="ar"/>
              </w:rPr>
              <w:t>HBA卡部分</w:t>
            </w: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16Gb/s</w:t>
            </w:r>
            <w:r>
              <w:rPr>
                <w:rStyle w:val="46"/>
                <w:rFonts w:hint="default"/>
                <w:lang w:bidi="ar"/>
              </w:rPr>
              <w:t xml:space="preserve"> Fibre Channel Adapter;</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cs="宋体"/>
                <w:color w:val="000000"/>
                <w:sz w:val="24"/>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Lc-lc端口；PCIe 3.0 x8；</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cs="宋体"/>
                <w:color w:val="000000"/>
                <w:sz w:val="24"/>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安装部署要求：</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cs="宋体"/>
                <w:color w:val="000000"/>
                <w:sz w:val="24"/>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升级后系统和正常识别存储磁盘；</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cs="宋体"/>
                <w:color w:val="000000"/>
                <w:sz w:val="24"/>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存储访问链路冗余；</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cs="宋体"/>
                <w:color w:val="000000"/>
                <w:sz w:val="24"/>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端口速率达16Gb卡标准；</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cs="宋体"/>
                <w:color w:val="000000"/>
                <w:sz w:val="24"/>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无光纤卡、链路、磁盘报错信息；</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cs="宋体"/>
                <w:color w:val="000000"/>
                <w:sz w:val="24"/>
              </w:rPr>
            </w:pPr>
          </w:p>
        </w:tc>
      </w:tr>
      <w:tr>
        <w:tblPrEx>
          <w:tblCellMar>
            <w:top w:w="0" w:type="dxa"/>
            <w:left w:w="108" w:type="dxa"/>
            <w:bottom w:w="0" w:type="dxa"/>
            <w:right w:w="108" w:type="dxa"/>
          </w:tblCellMar>
        </w:tblPrEx>
        <w:trPr>
          <w:trHeight w:val="300" w:hRule="atLeast"/>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4"/>
              </w:rPr>
            </w:pPr>
            <w:r>
              <w:rPr>
                <w:rFonts w:hint="eastAsia" w:ascii="宋体" w:hAnsi="宋体" w:cs="宋体"/>
                <w:color w:val="000000"/>
                <w:kern w:val="0"/>
                <w:sz w:val="24"/>
                <w:lang w:bidi="ar"/>
              </w:rPr>
              <w:t>2</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4"/>
              </w:rPr>
            </w:pPr>
            <w:r>
              <w:rPr>
                <w:rFonts w:hint="eastAsia" w:ascii="宋体" w:hAnsi="宋体" w:cs="宋体"/>
                <w:color w:val="000000"/>
                <w:kern w:val="0"/>
                <w:sz w:val="24"/>
                <w:lang w:bidi="ar"/>
              </w:rPr>
              <w:t>内存</w:t>
            </w: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 xml:space="preserve">256G内存支持ibm power720 </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cs="宋体"/>
                <w:color w:val="000000"/>
                <w:sz w:val="24"/>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安装部署要求：</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cs="宋体"/>
                <w:color w:val="000000"/>
                <w:sz w:val="24"/>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内存识别容量256GB；</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cs="宋体"/>
                <w:color w:val="000000"/>
                <w:sz w:val="24"/>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操作系统和数据库可用状态；</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cs="宋体"/>
                <w:color w:val="000000"/>
                <w:sz w:val="24"/>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错误日志无内存异常信息；</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cs="宋体"/>
                <w:color w:val="000000"/>
                <w:sz w:val="24"/>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配置Hacmp运行正常，双机接管正常；</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ascii="宋体" w:hAnsi="宋体" w:cs="宋体"/>
                <w:color w:val="000000"/>
                <w:sz w:val="24"/>
              </w:rPr>
            </w:pPr>
          </w:p>
        </w:tc>
      </w:tr>
      <w:tr>
        <w:tblPrEx>
          <w:tblCellMar>
            <w:top w:w="0" w:type="dxa"/>
            <w:left w:w="108" w:type="dxa"/>
            <w:bottom w:w="0" w:type="dxa"/>
            <w:right w:w="108" w:type="dxa"/>
          </w:tblCellMar>
        </w:tblPrEx>
        <w:trPr>
          <w:trHeight w:val="300" w:hRule="atLeast"/>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4"/>
              </w:rPr>
            </w:pPr>
            <w:r>
              <w:rPr>
                <w:rFonts w:hint="eastAsia" w:ascii="宋体" w:hAnsi="宋体" w:cs="宋体"/>
                <w:color w:val="000000"/>
                <w:kern w:val="0"/>
                <w:sz w:val="24"/>
                <w:lang w:bidi="ar"/>
              </w:rPr>
              <w:t>3</w:t>
            </w:r>
          </w:p>
        </w:tc>
        <w:tc>
          <w:tcPr>
            <w:tcW w:w="1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宋体" w:hAnsi="宋体" w:cs="宋体"/>
                <w:color w:val="000000"/>
                <w:sz w:val="24"/>
              </w:rPr>
            </w:pPr>
            <w:r>
              <w:rPr>
                <w:rFonts w:hint="eastAsia" w:ascii="宋体" w:hAnsi="宋体" w:cs="宋体"/>
                <w:color w:val="000000"/>
                <w:kern w:val="0"/>
                <w:sz w:val="24"/>
                <w:lang w:bidi="ar"/>
              </w:rPr>
              <w:t>容灾系统服务</w:t>
            </w: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66个数据库复制实施、服务、监控，要求：</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数据能够以准实时的方式传输到容灾端(秒级延时)；</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6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容灾配置添加到生成端hacmp集群，单一主机故障不影响容灾复制；</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74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通过hacmp+容灾配置组成容灾端集群，单一主机故障不影响容灾复制；</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容灾复制监控系统建设部署实施，不影响业务系统运行；</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容灾监控要求：</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Web方式监控容灾状态，具有容灾监控大屏展示窗口；提供系统截图</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监控中能够实现树型容灾分组管理，方便容灾检查；</w:t>
            </w:r>
          </w:p>
          <w:p>
            <w:pPr>
              <w:widowControl/>
              <w:jc w:val="left"/>
              <w:textAlignment w:val="center"/>
              <w:rPr>
                <w:rFonts w:ascii="宋体" w:hAnsi="宋体" w:cs="宋体"/>
                <w:color w:val="000000"/>
                <w:kern w:val="0"/>
                <w:sz w:val="24"/>
                <w:lang w:bidi="ar"/>
              </w:rPr>
            </w:pPr>
            <w:r>
              <w:rPr>
                <w:rFonts w:hint="eastAsia" w:ascii="宋体" w:hAnsi="宋体" w:cs="宋体"/>
                <w:color w:val="000000"/>
                <w:kern w:val="0"/>
                <w:sz w:val="24"/>
                <w:lang w:bidi="ar"/>
              </w:rPr>
              <w:t>提供系统截图</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容灾监控中包含容灾两端状态对比，方便容灾细节查看；提供系统截图</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容灾监控历史记录可查；</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300" w:hRule="atLeast"/>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1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4"/>
              </w:rPr>
            </w:pPr>
          </w:p>
        </w:tc>
        <w:tc>
          <w:tcPr>
            <w:tcW w:w="55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sz w:val="24"/>
              </w:rPr>
              <w:t>投标方提供原厂授权或自有软件著作权复印件。</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ascii="宋体" w:hAnsi="宋体" w:cs="宋体"/>
                <w:color w:val="000000"/>
                <w:sz w:val="22"/>
                <w:szCs w:val="22"/>
              </w:rPr>
            </w:pPr>
          </w:p>
        </w:tc>
      </w:tr>
      <w:tr>
        <w:tblPrEx>
          <w:tblCellMar>
            <w:top w:w="0" w:type="dxa"/>
            <w:left w:w="108" w:type="dxa"/>
            <w:bottom w:w="0" w:type="dxa"/>
            <w:right w:w="108" w:type="dxa"/>
          </w:tblCellMar>
        </w:tblPrEx>
        <w:trPr>
          <w:trHeight w:val="680" w:hRule="atLeast"/>
        </w:trPr>
        <w:tc>
          <w:tcPr>
            <w:tcW w:w="9242" w:type="dxa"/>
            <w:gridSpan w:val="4"/>
            <w:tcBorders>
              <w:top w:val="nil"/>
              <w:left w:val="nil"/>
              <w:bottom w:val="nil"/>
              <w:right w:val="nil"/>
            </w:tcBorders>
            <w:shd w:val="clear" w:color="auto" w:fill="auto"/>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注：此部安装部署要求、实施要求、软件要求需填写的结论需加盖公章的。将作为后续实施要求和验收的条件，否则将按照违约处理。</w:t>
            </w:r>
          </w:p>
        </w:tc>
      </w:tr>
    </w:tbl>
    <w:p/>
    <w:p>
      <w:pPr>
        <w:numPr>
          <w:ilvl w:val="0"/>
          <w:numId w:val="14"/>
        </w:numPr>
        <w:spacing w:line="480" w:lineRule="auto"/>
        <w:jc w:val="left"/>
        <w:rPr>
          <w:rFonts w:ascii="微软雅黑" w:hAnsi="微软雅黑" w:eastAsia="微软雅黑"/>
          <w:szCs w:val="21"/>
        </w:rPr>
      </w:pPr>
      <w:r>
        <w:rPr>
          <w:rFonts w:hint="eastAsia" w:ascii="微软雅黑" w:hAnsi="微软雅黑" w:eastAsia="微软雅黑"/>
          <w:szCs w:val="21"/>
        </w:rPr>
        <w:t>投标方必须保证本项目实施内容为一个整体解决方案，并提供整体解决方案的详细说明。</w:t>
      </w:r>
    </w:p>
    <w:p>
      <w:pPr>
        <w:numPr>
          <w:ilvl w:val="0"/>
          <w:numId w:val="14"/>
        </w:numPr>
        <w:spacing w:line="480" w:lineRule="auto"/>
        <w:jc w:val="left"/>
        <w:rPr>
          <w:rFonts w:ascii="微软雅黑" w:hAnsi="微软雅黑" w:eastAsia="微软雅黑"/>
          <w:szCs w:val="21"/>
        </w:rPr>
      </w:pPr>
      <w:r>
        <w:rPr>
          <w:rFonts w:hint="eastAsia" w:ascii="微软雅黑" w:hAnsi="微软雅黑" w:eastAsia="微软雅黑"/>
          <w:szCs w:val="21"/>
        </w:rPr>
        <w:t>投标方应规划设计详细的实施项目的流程。</w:t>
      </w:r>
    </w:p>
    <w:p>
      <w:pPr>
        <w:numPr>
          <w:ilvl w:val="0"/>
          <w:numId w:val="14"/>
        </w:numPr>
        <w:spacing w:line="480" w:lineRule="auto"/>
        <w:jc w:val="left"/>
        <w:rPr>
          <w:rFonts w:ascii="微软雅黑" w:hAnsi="微软雅黑" w:eastAsia="微软雅黑"/>
          <w:szCs w:val="21"/>
        </w:rPr>
      </w:pPr>
      <w:r>
        <w:rPr>
          <w:rFonts w:hint="eastAsia" w:ascii="微软雅黑" w:hAnsi="微软雅黑" w:eastAsia="微软雅黑"/>
          <w:szCs w:val="21"/>
        </w:rPr>
        <w:t>投标方应提供类似解决方案的实际案例，并简要叙述实施方案及其效果。</w:t>
      </w:r>
    </w:p>
    <w:p>
      <w:pPr>
        <w:numPr>
          <w:ilvl w:val="0"/>
          <w:numId w:val="14"/>
        </w:numPr>
        <w:spacing w:line="480" w:lineRule="auto"/>
        <w:jc w:val="left"/>
        <w:rPr>
          <w:rFonts w:ascii="微软雅黑" w:hAnsi="微软雅黑" w:eastAsia="微软雅黑"/>
          <w:szCs w:val="21"/>
        </w:rPr>
      </w:pPr>
      <w:r>
        <w:rPr>
          <w:rFonts w:hint="eastAsia" w:ascii="微软雅黑" w:hAnsi="微软雅黑" w:eastAsia="微软雅黑"/>
          <w:szCs w:val="21"/>
        </w:rPr>
        <w:t>投标方应提供配合项目实施的相关配套系统、工具、软件的安装调试；招标方不提供需额授权得工具或软件。</w:t>
      </w:r>
    </w:p>
    <w:p>
      <w:pPr>
        <w:numPr>
          <w:ilvl w:val="0"/>
          <w:numId w:val="14"/>
        </w:numPr>
        <w:spacing w:line="480" w:lineRule="auto"/>
        <w:jc w:val="left"/>
        <w:rPr>
          <w:rFonts w:ascii="微软雅黑" w:hAnsi="微软雅黑" w:eastAsia="微软雅黑"/>
          <w:szCs w:val="21"/>
        </w:rPr>
      </w:pPr>
      <w:r>
        <w:rPr>
          <w:rFonts w:hint="eastAsia" w:ascii="微软雅黑" w:hAnsi="微软雅黑" w:eastAsia="微软雅黑"/>
          <w:szCs w:val="21"/>
        </w:rPr>
        <w:t>系统部署所需新的软件类型，不应存在正版化隐患；如需正版化采购，该软件应包含在投标人整体项目报价中，甲方不单独提供此部分费用。</w:t>
      </w:r>
    </w:p>
    <w:p>
      <w:pPr>
        <w:pStyle w:val="3"/>
        <w:rPr>
          <w:rFonts w:ascii="微软雅黑" w:hAnsi="微软雅黑" w:eastAsia="微软雅黑"/>
          <w:sz w:val="32"/>
          <w:szCs w:val="32"/>
        </w:rPr>
      </w:pPr>
      <w:bookmarkStart w:id="87" w:name="_Toc527105181"/>
      <w:bookmarkStart w:id="88" w:name="_Toc526784170"/>
      <w:bookmarkStart w:id="89" w:name="_Toc11571"/>
      <w:r>
        <w:rPr>
          <w:rFonts w:hint="eastAsia" w:ascii="微软雅黑" w:hAnsi="微软雅黑" w:eastAsia="微软雅黑"/>
          <w:sz w:val="32"/>
          <w:szCs w:val="32"/>
        </w:rPr>
        <w:t>4.评标标准</w:t>
      </w:r>
      <w:bookmarkEnd w:id="87"/>
      <w:bookmarkEnd w:id="88"/>
      <w:bookmarkEnd w:id="89"/>
    </w:p>
    <w:p>
      <w:pPr>
        <w:pStyle w:val="4"/>
        <w:rPr>
          <w:rFonts w:ascii="微软雅黑" w:hAnsi="微软雅黑" w:eastAsia="微软雅黑"/>
          <w:sz w:val="28"/>
          <w:szCs w:val="28"/>
        </w:rPr>
      </w:pPr>
      <w:bookmarkStart w:id="90" w:name="_Toc527105182"/>
      <w:bookmarkStart w:id="91" w:name="_Toc526784171"/>
      <w:bookmarkStart w:id="92" w:name="_Toc3073"/>
      <w:r>
        <w:rPr>
          <w:rFonts w:hint="eastAsia" w:ascii="微软雅黑" w:hAnsi="微软雅黑" w:eastAsia="微软雅黑"/>
          <w:sz w:val="28"/>
          <w:szCs w:val="28"/>
        </w:rPr>
        <w:t>4.1</w:t>
      </w:r>
      <w:bookmarkEnd w:id="90"/>
      <w:bookmarkEnd w:id="91"/>
      <w:r>
        <w:rPr>
          <w:rFonts w:hint="eastAsia" w:ascii="微软雅黑" w:hAnsi="微软雅黑" w:eastAsia="微软雅黑"/>
          <w:sz w:val="28"/>
          <w:szCs w:val="28"/>
        </w:rPr>
        <w:t>评标标准</w:t>
      </w:r>
      <w:bookmarkEnd w:id="92"/>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本次综合评分的主要因素是：价格、技术、业绩、售后服务、对采购文件的响应程度。</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除价格因素外，评委会成员应依据投标文件规定的评分标准和方法独立对其他因素进行比较打分。</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在评标过程中，投标文件响应采购文件出现的偏离，分为实质性偏离和非实质性偏离。</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实质性偏离是指投标文件未能实质响应采购文件的要求。以下情况属于重大偏离：</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（1）未按采购文件要求提交投标保证金；</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（2）投标函、法定代表人授权委托书、开标一览表没有按采购文件的规定和要求签字或盖章；</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（3）投标文件中附有采购人不能接受的条件；</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（4）投标产品的技术规格、技术标准明显不符合招标项目的要求；</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（5）不符合采购文件规定的其他实质性要求。</w:t>
      </w:r>
    </w:p>
    <w:p>
      <w:pPr>
        <w:pStyle w:val="37"/>
        <w:tabs>
          <w:tab w:val="left" w:pos="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投标文件有上述情形之一的，作无效投标处理。</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非实质性偏离是指投标文件在实质上响应采购文件的要求，但在个别地方存在一些不规则、不一致、不完整的内容，并且澄清、说明或者补正这些内容不会改变投标文件的实质性内容。以下情况属于非实质性偏离：</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（1） 文字表述的内容含义不明确；</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（2） 同类问题表述不一致；</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（3） 有明显文字和计算错误；</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（4） 提供的技术信息和数据资料不完整；</w:t>
      </w:r>
    </w:p>
    <w:p>
      <w:pPr>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（5） 评标委员会认定的其他非实质性偏离。</w:t>
      </w:r>
    </w:p>
    <w:p>
      <w:pPr>
        <w:tabs>
          <w:tab w:val="left" w:pos="7665"/>
        </w:tabs>
        <w:snapToGrid w:val="0"/>
        <w:spacing w:line="480" w:lineRule="auto"/>
        <w:ind w:firstLine="420" w:firstLineChars="200"/>
        <w:rPr>
          <w:rFonts w:ascii="微软雅黑" w:hAnsi="微软雅黑" w:eastAsia="微软雅黑"/>
          <w:szCs w:val="21"/>
        </w:rPr>
      </w:pPr>
      <w:r>
        <w:rPr>
          <w:rFonts w:ascii="微软雅黑" w:hAnsi="微软雅黑" w:eastAsia="微软雅黑"/>
          <w:szCs w:val="21"/>
        </w:rPr>
        <w:t>投标文件有上述（1）--（4）情形之一的，评标委员会应当书面要求投标人在规定的时间内予以澄清、说明或补正。投标人拒不或在规定的时间内没有进行澄清、说明或补正或澄清、说明、补正的内容也不能说明问题的，视为投标文件制作不规范，按每一项非实质性偏离进行扣分处理，直至该项分值扣完为止。评标委员会不接受投标人主动提出的澄清、说明或补正。</w:t>
      </w:r>
    </w:p>
    <w:p>
      <w:pPr>
        <w:pStyle w:val="37"/>
        <w:tabs>
          <w:tab w:val="left" w:pos="600"/>
        </w:tabs>
        <w:snapToGrid w:val="0"/>
        <w:spacing w:line="480" w:lineRule="auto"/>
        <w:ind w:firstLine="420" w:firstLineChars="200"/>
        <w:rPr>
          <w:rFonts w:ascii="微软雅黑" w:hAnsi="微软雅黑" w:eastAsia="微软雅黑" w:cs="Times New Roman"/>
          <w:sz w:val="21"/>
          <w:szCs w:val="21"/>
        </w:rPr>
      </w:pPr>
      <w:r>
        <w:rPr>
          <w:rFonts w:ascii="微软雅黑" w:hAnsi="微软雅黑" w:eastAsia="微软雅黑" w:cs="Times New Roman"/>
          <w:sz w:val="21"/>
          <w:szCs w:val="21"/>
        </w:rPr>
        <w:t>在投标文件初审过程中，如果出现评标委员会成员意见不一致的情况，按照少数服从多数的原则确定。</w:t>
      </w:r>
    </w:p>
    <w:p>
      <w:pPr>
        <w:pStyle w:val="4"/>
        <w:spacing w:line="360" w:lineRule="auto"/>
        <w:rPr>
          <w:rFonts w:ascii="微软雅黑" w:hAnsi="微软雅黑" w:eastAsia="微软雅黑"/>
          <w:sz w:val="28"/>
          <w:szCs w:val="28"/>
        </w:rPr>
      </w:pPr>
      <w:bookmarkStart w:id="93" w:name="_Toc19573"/>
      <w:r>
        <w:rPr>
          <w:rFonts w:hint="eastAsia" w:ascii="微软雅黑" w:hAnsi="微软雅黑" w:eastAsia="微软雅黑"/>
          <w:sz w:val="28"/>
          <w:szCs w:val="28"/>
        </w:rPr>
        <w:t>4</w:t>
      </w:r>
      <w:r>
        <w:rPr>
          <w:rFonts w:ascii="微软雅黑" w:hAnsi="微软雅黑" w:eastAsia="微软雅黑"/>
          <w:sz w:val="28"/>
          <w:szCs w:val="28"/>
        </w:rPr>
        <w:t>.2综合评分明细表</w:t>
      </w:r>
      <w:bookmarkEnd w:id="93"/>
    </w:p>
    <w:p>
      <w:pPr>
        <w:spacing w:line="360" w:lineRule="auto"/>
        <w:rPr>
          <w:rFonts w:ascii="微软雅黑" w:hAnsi="微软雅黑" w:eastAsia="微软雅黑"/>
          <w:szCs w:val="21"/>
        </w:rPr>
      </w:pPr>
      <w:r>
        <w:rPr>
          <w:rFonts w:ascii="微软雅黑" w:hAnsi="微软雅黑" w:eastAsia="微软雅黑"/>
          <w:szCs w:val="21"/>
        </w:rPr>
        <w:t>综合评分明细表的制定以科学合理、降低评标委员会自由裁量权为原则。</w:t>
      </w:r>
    </w:p>
    <w:tbl>
      <w:tblPr>
        <w:tblStyle w:val="14"/>
        <w:tblW w:w="9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
        <w:gridCol w:w="1520"/>
        <w:gridCol w:w="1780"/>
        <w:gridCol w:w="5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6" w:type="dxa"/>
            <w:vAlign w:val="center"/>
          </w:tcPr>
          <w:p>
            <w:pPr>
              <w:pBdr>
                <w:between w:val="single" w:color="auto" w:sz="4" w:space="0"/>
              </w:pBdr>
              <w:spacing w:line="360" w:lineRule="auto"/>
              <w:jc w:val="center"/>
              <w:rPr>
                <w:rFonts w:ascii="宋体" w:hAnsi="宋体" w:cs="宋体"/>
                <w:b/>
                <w:bCs/>
                <w:kern w:val="0"/>
                <w:szCs w:val="21"/>
              </w:rPr>
            </w:pPr>
            <w:r>
              <w:rPr>
                <w:rFonts w:hint="eastAsia" w:ascii="宋体" w:hAnsi="宋体" w:cs="宋体"/>
                <w:b/>
                <w:bCs/>
                <w:kern w:val="0"/>
                <w:szCs w:val="21"/>
              </w:rPr>
              <w:t>条款号</w:t>
            </w:r>
          </w:p>
        </w:tc>
        <w:tc>
          <w:tcPr>
            <w:tcW w:w="1520" w:type="dxa"/>
            <w:tcBorders>
              <w:bottom w:val="single" w:color="auto" w:sz="4" w:space="0"/>
            </w:tcBorders>
            <w:vAlign w:val="center"/>
          </w:tcPr>
          <w:p>
            <w:pPr>
              <w:pBdr>
                <w:between w:val="single" w:color="auto" w:sz="4" w:space="0"/>
              </w:pBdr>
              <w:spacing w:line="360" w:lineRule="auto"/>
              <w:jc w:val="center"/>
              <w:rPr>
                <w:rFonts w:ascii="宋体" w:hAnsi="宋体" w:cs="宋体"/>
                <w:b/>
                <w:bCs/>
                <w:kern w:val="0"/>
                <w:szCs w:val="21"/>
              </w:rPr>
            </w:pPr>
            <w:r>
              <w:rPr>
                <w:rFonts w:hint="eastAsia" w:ascii="宋体" w:hAnsi="宋体" w:cs="宋体"/>
                <w:b/>
                <w:bCs/>
                <w:kern w:val="0"/>
                <w:szCs w:val="21"/>
              </w:rPr>
              <w:t>条款内容</w:t>
            </w:r>
          </w:p>
        </w:tc>
        <w:tc>
          <w:tcPr>
            <w:tcW w:w="7333" w:type="dxa"/>
            <w:gridSpan w:val="2"/>
            <w:vAlign w:val="center"/>
          </w:tcPr>
          <w:p>
            <w:pPr>
              <w:pBdr>
                <w:between w:val="single" w:color="auto" w:sz="4" w:space="0"/>
              </w:pBdr>
              <w:spacing w:line="360" w:lineRule="auto"/>
              <w:jc w:val="center"/>
              <w:rPr>
                <w:rFonts w:ascii="宋体" w:hAnsi="宋体" w:cs="宋体"/>
                <w:b/>
                <w:bCs/>
                <w:kern w:val="0"/>
                <w:szCs w:val="21"/>
              </w:rPr>
            </w:pPr>
            <w:r>
              <w:rPr>
                <w:rFonts w:hint="eastAsia" w:ascii="宋体" w:hAnsi="宋体" w:cs="宋体"/>
                <w:b/>
                <w:bCs/>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6" w:type="dxa"/>
            <w:vMerge w:val="restart"/>
            <w:vAlign w:val="center"/>
          </w:tcPr>
          <w:p>
            <w:pPr>
              <w:pBdr>
                <w:between w:val="single" w:color="auto" w:sz="4" w:space="0"/>
              </w:pBdr>
              <w:spacing w:line="360" w:lineRule="auto"/>
              <w:jc w:val="center"/>
              <w:rPr>
                <w:rFonts w:ascii="宋体" w:hAnsi="宋体" w:cs="宋体"/>
                <w:szCs w:val="21"/>
              </w:rPr>
            </w:pPr>
            <w:r>
              <w:rPr>
                <w:rFonts w:hint="eastAsia" w:ascii="宋体" w:hAnsi="宋体" w:cs="宋体"/>
                <w:szCs w:val="21"/>
              </w:rPr>
              <w:t>1</w:t>
            </w:r>
          </w:p>
        </w:tc>
        <w:tc>
          <w:tcPr>
            <w:tcW w:w="1520" w:type="dxa"/>
            <w:vMerge w:val="restart"/>
            <w:vAlign w:val="center"/>
          </w:tcPr>
          <w:p>
            <w:pPr>
              <w:pBdr>
                <w:between w:val="single" w:color="auto" w:sz="4" w:space="0"/>
              </w:pBdr>
              <w:spacing w:line="360" w:lineRule="auto"/>
              <w:jc w:val="center"/>
              <w:rPr>
                <w:rFonts w:ascii="宋体" w:hAnsi="宋体" w:cs="宋体"/>
                <w:szCs w:val="21"/>
              </w:rPr>
            </w:pPr>
            <w:r>
              <w:rPr>
                <w:rFonts w:hint="eastAsia" w:ascii="宋体" w:hAnsi="宋体" w:cs="宋体"/>
                <w:szCs w:val="21"/>
              </w:rPr>
              <w:t>1.1分值构成 (总分100%)</w:t>
            </w:r>
          </w:p>
        </w:tc>
        <w:tc>
          <w:tcPr>
            <w:tcW w:w="7333" w:type="dxa"/>
            <w:gridSpan w:val="2"/>
            <w:vAlign w:val="center"/>
          </w:tcPr>
          <w:p>
            <w:pPr>
              <w:pBdr>
                <w:between w:val="single" w:color="auto" w:sz="4" w:space="0"/>
              </w:pBdr>
              <w:spacing w:line="360" w:lineRule="auto"/>
              <w:jc w:val="center"/>
              <w:rPr>
                <w:rFonts w:ascii="宋体" w:hAnsi="宋体" w:cs="宋体"/>
                <w:szCs w:val="21"/>
              </w:rPr>
            </w:pPr>
            <w:r>
              <w:rPr>
                <w:rFonts w:hint="eastAsia" w:ascii="宋体" w:hAnsi="宋体" w:cs="宋体"/>
                <w:szCs w:val="21"/>
              </w:rPr>
              <w:t>商务部分：10%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6" w:type="dxa"/>
            <w:vMerge w:val="continue"/>
            <w:vAlign w:val="center"/>
          </w:tcPr>
          <w:p>
            <w:pPr>
              <w:pBdr>
                <w:between w:val="single" w:color="auto" w:sz="4" w:space="0"/>
              </w:pBdr>
              <w:spacing w:line="360" w:lineRule="auto"/>
              <w:jc w:val="center"/>
              <w:rPr>
                <w:rFonts w:ascii="宋体" w:hAnsi="宋体" w:cs="宋体"/>
                <w:szCs w:val="21"/>
              </w:rPr>
            </w:pPr>
          </w:p>
        </w:tc>
        <w:tc>
          <w:tcPr>
            <w:tcW w:w="1520" w:type="dxa"/>
            <w:vMerge w:val="continue"/>
            <w:tcBorders>
              <w:top w:val="nil"/>
            </w:tcBorders>
            <w:vAlign w:val="center"/>
          </w:tcPr>
          <w:p>
            <w:pPr>
              <w:pBdr>
                <w:between w:val="single" w:color="auto" w:sz="4" w:space="0"/>
              </w:pBdr>
              <w:spacing w:line="360" w:lineRule="auto"/>
              <w:jc w:val="center"/>
              <w:rPr>
                <w:rFonts w:ascii="宋体" w:hAnsi="宋体" w:cs="宋体"/>
                <w:szCs w:val="21"/>
              </w:rPr>
            </w:pPr>
          </w:p>
        </w:tc>
        <w:tc>
          <w:tcPr>
            <w:tcW w:w="7333" w:type="dxa"/>
            <w:gridSpan w:val="2"/>
            <w:vAlign w:val="center"/>
          </w:tcPr>
          <w:p>
            <w:pPr>
              <w:pBdr>
                <w:between w:val="single" w:color="auto" w:sz="4" w:space="0"/>
              </w:pBdr>
              <w:spacing w:line="360" w:lineRule="auto"/>
              <w:jc w:val="center"/>
              <w:rPr>
                <w:rFonts w:ascii="宋体" w:hAnsi="宋体" w:cs="宋体"/>
                <w:szCs w:val="21"/>
              </w:rPr>
            </w:pPr>
            <w:r>
              <w:rPr>
                <w:rFonts w:hint="eastAsia" w:ascii="宋体" w:hAnsi="宋体" w:cs="宋体"/>
                <w:szCs w:val="21"/>
              </w:rPr>
              <w:t>技术部分：40%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966" w:type="dxa"/>
            <w:vMerge w:val="continue"/>
            <w:vAlign w:val="center"/>
          </w:tcPr>
          <w:p>
            <w:pPr>
              <w:pBdr>
                <w:between w:val="single" w:color="auto" w:sz="4" w:space="0"/>
              </w:pBdr>
              <w:spacing w:line="360" w:lineRule="auto"/>
              <w:jc w:val="center"/>
              <w:rPr>
                <w:rFonts w:ascii="宋体" w:hAnsi="宋体" w:cs="宋体"/>
                <w:szCs w:val="21"/>
              </w:rPr>
            </w:pPr>
          </w:p>
        </w:tc>
        <w:tc>
          <w:tcPr>
            <w:tcW w:w="1520" w:type="dxa"/>
            <w:vMerge w:val="continue"/>
            <w:tcBorders>
              <w:top w:val="nil"/>
            </w:tcBorders>
            <w:vAlign w:val="center"/>
          </w:tcPr>
          <w:p>
            <w:pPr>
              <w:pBdr>
                <w:between w:val="single" w:color="auto" w:sz="4" w:space="0"/>
              </w:pBdr>
              <w:spacing w:line="360" w:lineRule="auto"/>
              <w:jc w:val="center"/>
              <w:rPr>
                <w:rFonts w:ascii="宋体" w:hAnsi="宋体" w:cs="宋体"/>
                <w:szCs w:val="21"/>
              </w:rPr>
            </w:pPr>
          </w:p>
        </w:tc>
        <w:tc>
          <w:tcPr>
            <w:tcW w:w="7333" w:type="dxa"/>
            <w:gridSpan w:val="2"/>
            <w:vAlign w:val="center"/>
          </w:tcPr>
          <w:p>
            <w:pPr>
              <w:pBdr>
                <w:between w:val="single" w:color="auto" w:sz="4" w:space="0"/>
              </w:pBdr>
              <w:spacing w:line="360" w:lineRule="auto"/>
              <w:jc w:val="center"/>
              <w:rPr>
                <w:rFonts w:ascii="宋体" w:hAnsi="宋体" w:cs="宋体"/>
                <w:szCs w:val="21"/>
              </w:rPr>
            </w:pPr>
            <w:r>
              <w:rPr>
                <w:rFonts w:hint="eastAsia" w:ascii="宋体" w:hAnsi="宋体" w:cs="宋体"/>
                <w:szCs w:val="21"/>
              </w:rPr>
              <w:t xml:space="preserve">投标报价：50%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966" w:type="dxa"/>
            <w:vMerge w:val="continue"/>
            <w:vAlign w:val="center"/>
          </w:tcPr>
          <w:p>
            <w:pPr>
              <w:pBdr>
                <w:between w:val="single" w:color="auto" w:sz="4" w:space="0"/>
              </w:pBdr>
              <w:spacing w:line="360" w:lineRule="auto"/>
              <w:jc w:val="center"/>
              <w:rPr>
                <w:rFonts w:ascii="宋体" w:hAnsi="宋体" w:cs="宋体"/>
                <w:kern w:val="0"/>
                <w:szCs w:val="21"/>
              </w:rPr>
            </w:pPr>
          </w:p>
        </w:tc>
        <w:tc>
          <w:tcPr>
            <w:tcW w:w="1520" w:type="dxa"/>
            <w:vAlign w:val="center"/>
          </w:tcPr>
          <w:p>
            <w:pPr>
              <w:pBdr>
                <w:between w:val="single" w:color="auto" w:sz="4" w:space="0"/>
              </w:pBdr>
              <w:spacing w:line="360" w:lineRule="auto"/>
              <w:jc w:val="center"/>
              <w:rPr>
                <w:rFonts w:ascii="宋体" w:hAnsi="宋体" w:cs="宋体"/>
                <w:kern w:val="0"/>
                <w:szCs w:val="21"/>
              </w:rPr>
            </w:pPr>
            <w:r>
              <w:rPr>
                <w:rFonts w:hint="eastAsia" w:ascii="宋体" w:hAnsi="宋体" w:cs="宋体"/>
                <w:szCs w:val="21"/>
              </w:rPr>
              <w:t>1.2评定办法</w:t>
            </w:r>
          </w:p>
        </w:tc>
        <w:tc>
          <w:tcPr>
            <w:tcW w:w="7333" w:type="dxa"/>
            <w:gridSpan w:val="2"/>
            <w:vAlign w:val="center"/>
          </w:tcPr>
          <w:p>
            <w:pPr>
              <w:spacing w:line="360" w:lineRule="auto"/>
              <w:ind w:firstLine="2108" w:firstLineChars="1000"/>
              <w:rPr>
                <w:rFonts w:ascii="宋体" w:hAnsi="宋体" w:cs="宋体"/>
                <w:kern w:val="0"/>
                <w:szCs w:val="21"/>
              </w:rPr>
            </w:pPr>
            <w:r>
              <w:rPr>
                <w:rFonts w:hint="eastAsia" w:ascii="宋体" w:hAnsi="宋体" w:cs="宋体"/>
                <w:b/>
                <w:kern w:val="0"/>
                <w:szCs w:val="21"/>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6" w:type="dxa"/>
            <w:vAlign w:val="center"/>
          </w:tcPr>
          <w:p>
            <w:pPr>
              <w:pBdr>
                <w:between w:val="single" w:color="auto" w:sz="4" w:space="0"/>
              </w:pBdr>
              <w:spacing w:line="360" w:lineRule="auto"/>
              <w:jc w:val="center"/>
              <w:rPr>
                <w:rFonts w:ascii="宋体" w:hAnsi="宋体" w:cs="宋体"/>
                <w:b/>
                <w:bCs/>
                <w:kern w:val="0"/>
                <w:szCs w:val="21"/>
              </w:rPr>
            </w:pPr>
            <w:r>
              <w:rPr>
                <w:rFonts w:hint="eastAsia" w:ascii="宋体" w:hAnsi="宋体" w:cs="宋体"/>
                <w:b/>
                <w:bCs/>
                <w:kern w:val="0"/>
                <w:szCs w:val="21"/>
              </w:rPr>
              <w:t>条款号</w:t>
            </w:r>
          </w:p>
        </w:tc>
        <w:tc>
          <w:tcPr>
            <w:tcW w:w="1520" w:type="dxa"/>
            <w:vAlign w:val="center"/>
          </w:tcPr>
          <w:p>
            <w:pPr>
              <w:pBdr>
                <w:between w:val="single" w:color="auto" w:sz="4" w:space="0"/>
              </w:pBdr>
              <w:spacing w:line="360" w:lineRule="auto"/>
              <w:jc w:val="center"/>
              <w:rPr>
                <w:rFonts w:ascii="宋体" w:hAnsi="宋体" w:cs="宋体"/>
                <w:b/>
                <w:bCs/>
                <w:kern w:val="0"/>
                <w:szCs w:val="21"/>
              </w:rPr>
            </w:pPr>
            <w:r>
              <w:rPr>
                <w:rFonts w:hint="eastAsia" w:ascii="宋体" w:hAnsi="宋体" w:cs="宋体"/>
                <w:b/>
                <w:bCs/>
                <w:kern w:val="0"/>
                <w:szCs w:val="21"/>
              </w:rPr>
              <w:t>评分因素</w:t>
            </w:r>
          </w:p>
        </w:tc>
        <w:tc>
          <w:tcPr>
            <w:tcW w:w="1780" w:type="dxa"/>
            <w:vAlign w:val="center"/>
          </w:tcPr>
          <w:p>
            <w:pPr>
              <w:pBdr>
                <w:between w:val="single" w:color="auto" w:sz="4" w:space="0"/>
              </w:pBdr>
              <w:spacing w:line="360" w:lineRule="auto"/>
              <w:jc w:val="center"/>
              <w:rPr>
                <w:rFonts w:ascii="宋体" w:hAnsi="宋体" w:cs="宋体"/>
                <w:b/>
                <w:bCs/>
                <w:kern w:val="0"/>
                <w:szCs w:val="21"/>
              </w:rPr>
            </w:pPr>
            <w:r>
              <w:rPr>
                <w:rFonts w:hint="eastAsia" w:ascii="宋体" w:hAnsi="宋体" w:cs="宋体"/>
                <w:b/>
                <w:bCs/>
                <w:kern w:val="0"/>
                <w:szCs w:val="21"/>
              </w:rPr>
              <w:t>分值</w:t>
            </w:r>
          </w:p>
        </w:tc>
        <w:tc>
          <w:tcPr>
            <w:tcW w:w="5553" w:type="dxa"/>
            <w:vAlign w:val="center"/>
          </w:tcPr>
          <w:p>
            <w:pPr>
              <w:pBdr>
                <w:between w:val="single" w:color="auto" w:sz="4" w:space="0"/>
              </w:pBdr>
              <w:spacing w:line="360" w:lineRule="auto"/>
              <w:jc w:val="center"/>
              <w:rPr>
                <w:rFonts w:ascii="宋体" w:hAnsi="宋体" w:cs="宋体"/>
                <w:b/>
                <w:bCs/>
                <w:kern w:val="0"/>
                <w:szCs w:val="21"/>
              </w:rPr>
            </w:pPr>
            <w:r>
              <w:rPr>
                <w:rFonts w:hint="eastAsia" w:ascii="宋体" w:hAnsi="宋体" w:cs="宋体"/>
                <w:b/>
                <w:bCs/>
                <w:kern w:val="0"/>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6" w:type="dxa"/>
            <w:vMerge w:val="restart"/>
            <w:vAlign w:val="center"/>
          </w:tcPr>
          <w:p>
            <w:pPr>
              <w:pStyle w:val="39"/>
              <w:kinsoku w:val="0"/>
              <w:overflowPunct w:val="0"/>
              <w:spacing w:before="88" w:line="360" w:lineRule="auto"/>
              <w:ind w:left="181"/>
              <w:jc w:val="center"/>
              <w:rPr>
                <w:rFonts w:hint="default" w:ascii="宋体" w:hAnsi="宋体"/>
                <w:szCs w:val="21"/>
              </w:rPr>
            </w:pPr>
            <w:r>
              <w:rPr>
                <w:rFonts w:ascii="宋体" w:hAnsi="宋体"/>
                <w:szCs w:val="21"/>
              </w:rPr>
              <w:t>2</w:t>
            </w:r>
          </w:p>
        </w:tc>
        <w:tc>
          <w:tcPr>
            <w:tcW w:w="1520" w:type="dxa"/>
            <w:vMerge w:val="restart"/>
            <w:vAlign w:val="center"/>
          </w:tcPr>
          <w:p>
            <w:pPr>
              <w:spacing w:line="360" w:lineRule="auto"/>
              <w:jc w:val="center"/>
              <w:rPr>
                <w:rFonts w:ascii="宋体" w:hAnsi="宋体" w:cs="宋体"/>
                <w:szCs w:val="21"/>
              </w:rPr>
            </w:pPr>
            <w:r>
              <w:rPr>
                <w:rFonts w:hint="eastAsia" w:ascii="宋体" w:hAnsi="宋体" w:cs="宋体"/>
                <w:szCs w:val="21"/>
              </w:rPr>
              <w:t>2.1商务</w:t>
            </w:r>
          </w:p>
          <w:p>
            <w:pPr>
              <w:spacing w:line="360" w:lineRule="auto"/>
              <w:jc w:val="center"/>
              <w:rPr>
                <w:rFonts w:ascii="宋体" w:hAnsi="宋体" w:cs="宋体"/>
                <w:szCs w:val="21"/>
              </w:rPr>
            </w:pPr>
            <w:r>
              <w:rPr>
                <w:rFonts w:hint="eastAsia" w:ascii="宋体" w:hAnsi="宋体" w:cs="宋体"/>
                <w:szCs w:val="21"/>
              </w:rPr>
              <w:t>评分标准</w:t>
            </w:r>
          </w:p>
        </w:tc>
        <w:tc>
          <w:tcPr>
            <w:tcW w:w="1780" w:type="dxa"/>
            <w:vAlign w:val="center"/>
          </w:tcPr>
          <w:p>
            <w:pPr>
              <w:spacing w:line="360" w:lineRule="auto"/>
              <w:jc w:val="center"/>
              <w:rPr>
                <w:rFonts w:ascii="宋体" w:hAnsi="宋体" w:cs="宋体"/>
                <w:szCs w:val="21"/>
              </w:rPr>
            </w:pPr>
            <w:r>
              <w:rPr>
                <w:rFonts w:hint="eastAsia" w:ascii="宋体" w:hAnsi="宋体" w:cs="宋体"/>
                <w:szCs w:val="21"/>
              </w:rPr>
              <w:t>财务状况</w:t>
            </w:r>
          </w:p>
          <w:p>
            <w:pPr>
              <w:spacing w:line="360" w:lineRule="auto"/>
              <w:jc w:val="center"/>
              <w:rPr>
                <w:rFonts w:ascii="宋体" w:hAnsi="宋体" w:cs="宋体"/>
                <w:szCs w:val="21"/>
              </w:rPr>
            </w:pPr>
            <w:r>
              <w:rPr>
                <w:rFonts w:hint="eastAsia" w:ascii="宋体" w:hAnsi="宋体" w:cs="宋体"/>
                <w:szCs w:val="21"/>
              </w:rPr>
              <w:t>（3分）</w:t>
            </w:r>
          </w:p>
        </w:tc>
        <w:tc>
          <w:tcPr>
            <w:tcW w:w="5553" w:type="dxa"/>
            <w:vAlign w:val="center"/>
          </w:tcPr>
          <w:p>
            <w:pPr>
              <w:spacing w:line="360" w:lineRule="auto"/>
              <w:jc w:val="left"/>
              <w:rPr>
                <w:rFonts w:ascii="宋体" w:hAnsi="宋体" w:cs="宋体"/>
                <w:szCs w:val="21"/>
              </w:rPr>
            </w:pPr>
            <w:r>
              <w:rPr>
                <w:rFonts w:hint="eastAsia" w:ascii="宋体" w:hAnsi="宋体" w:cs="宋体"/>
                <w:szCs w:val="21"/>
              </w:rPr>
              <w:t>主要评审供应商</w:t>
            </w:r>
            <w:r>
              <w:rPr>
                <w:rFonts w:ascii="宋体" w:hAnsi="宋体" w:cs="宋体"/>
                <w:szCs w:val="21"/>
              </w:rPr>
              <w:t>21或22年经审计的财务报告反映的财务状况：</w:t>
            </w:r>
          </w:p>
          <w:p>
            <w:pPr>
              <w:spacing w:line="360" w:lineRule="auto"/>
              <w:jc w:val="left"/>
              <w:rPr>
                <w:rFonts w:ascii="宋体" w:hAnsi="宋体" w:cs="宋体"/>
                <w:szCs w:val="21"/>
              </w:rPr>
            </w:pPr>
            <w:r>
              <w:rPr>
                <w:rFonts w:hint="eastAsia" w:ascii="宋体" w:hAnsi="宋体" w:cs="宋体"/>
                <w:szCs w:val="21"/>
              </w:rPr>
              <w:t>提供报告且无明显财务问题得</w:t>
            </w:r>
            <w:r>
              <w:rPr>
                <w:rFonts w:ascii="宋体" w:hAnsi="宋体" w:cs="宋体"/>
                <w:szCs w:val="21"/>
              </w:rPr>
              <w:t xml:space="preserve"> 3分；</w:t>
            </w:r>
          </w:p>
          <w:p>
            <w:pPr>
              <w:spacing w:line="360" w:lineRule="auto"/>
              <w:jc w:val="left"/>
              <w:rPr>
                <w:rFonts w:ascii="宋体" w:hAnsi="宋体" w:cs="宋体"/>
                <w:szCs w:val="21"/>
              </w:rPr>
            </w:pPr>
            <w:r>
              <w:rPr>
                <w:rFonts w:hint="eastAsia" w:ascii="宋体" w:hAnsi="宋体" w:cs="宋体"/>
                <w:szCs w:val="21"/>
              </w:rPr>
              <w:t>提供报告单具有财务风险得</w:t>
            </w:r>
            <w:r>
              <w:rPr>
                <w:rFonts w:ascii="宋体" w:hAnsi="宋体" w:cs="宋体"/>
                <w:szCs w:val="21"/>
              </w:rPr>
              <w:t xml:space="preserve"> 1分；</w:t>
            </w:r>
          </w:p>
          <w:p>
            <w:pPr>
              <w:spacing w:line="360" w:lineRule="auto"/>
              <w:jc w:val="left"/>
              <w:rPr>
                <w:rFonts w:ascii="宋体" w:hAnsi="宋体" w:cs="宋体"/>
                <w:szCs w:val="21"/>
              </w:rPr>
            </w:pPr>
            <w:r>
              <w:rPr>
                <w:rFonts w:hint="eastAsia" w:ascii="宋体" w:hAnsi="宋体" w:cs="宋体"/>
                <w:szCs w:val="21"/>
              </w:rPr>
              <w:t>未提供财务报告不得</w:t>
            </w:r>
            <w:r>
              <w:rPr>
                <w:rFonts w:ascii="宋体" w:hAnsi="宋体" w:cs="宋体"/>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6" w:type="dxa"/>
            <w:vMerge w:val="continue"/>
            <w:vAlign w:val="center"/>
          </w:tcPr>
          <w:p>
            <w:pPr>
              <w:pStyle w:val="39"/>
              <w:kinsoku w:val="0"/>
              <w:overflowPunct w:val="0"/>
              <w:spacing w:before="88" w:line="360" w:lineRule="auto"/>
              <w:ind w:left="181"/>
              <w:jc w:val="center"/>
              <w:rPr>
                <w:rFonts w:hint="default" w:ascii="宋体" w:hAnsi="宋体"/>
                <w:szCs w:val="21"/>
              </w:rPr>
            </w:pPr>
          </w:p>
        </w:tc>
        <w:tc>
          <w:tcPr>
            <w:tcW w:w="1520" w:type="dxa"/>
            <w:vMerge w:val="continue"/>
            <w:vAlign w:val="center"/>
          </w:tcPr>
          <w:p>
            <w:pPr>
              <w:spacing w:line="360" w:lineRule="auto"/>
              <w:jc w:val="center"/>
              <w:rPr>
                <w:rFonts w:ascii="宋体" w:hAnsi="宋体" w:cs="宋体"/>
                <w:szCs w:val="21"/>
              </w:rPr>
            </w:pPr>
          </w:p>
        </w:tc>
        <w:tc>
          <w:tcPr>
            <w:tcW w:w="1780" w:type="dxa"/>
            <w:vAlign w:val="center"/>
          </w:tcPr>
          <w:p>
            <w:pPr>
              <w:spacing w:line="360" w:lineRule="auto"/>
              <w:jc w:val="center"/>
              <w:rPr>
                <w:rFonts w:ascii="宋体" w:hAnsi="宋体" w:cs="宋体"/>
                <w:szCs w:val="21"/>
              </w:rPr>
            </w:pPr>
            <w:r>
              <w:rPr>
                <w:rFonts w:hint="eastAsia" w:ascii="宋体" w:hAnsi="宋体" w:cs="宋体"/>
                <w:szCs w:val="21"/>
              </w:rPr>
              <w:t>企业资质（</w:t>
            </w:r>
            <w:r>
              <w:rPr>
                <w:rFonts w:ascii="宋体" w:hAnsi="宋体" w:cs="宋体"/>
                <w:szCs w:val="21"/>
              </w:rPr>
              <w:t>2</w:t>
            </w:r>
            <w:r>
              <w:rPr>
                <w:rFonts w:hint="eastAsia" w:ascii="宋体" w:hAnsi="宋体" w:cs="宋体"/>
                <w:szCs w:val="21"/>
              </w:rPr>
              <w:t>）</w:t>
            </w:r>
          </w:p>
        </w:tc>
        <w:tc>
          <w:tcPr>
            <w:tcW w:w="5553" w:type="dxa"/>
          </w:tcPr>
          <w:p>
            <w:pPr>
              <w:spacing w:line="360" w:lineRule="auto"/>
              <w:jc w:val="left"/>
              <w:rPr>
                <w:rFonts w:ascii="宋体" w:hAnsi="宋体" w:cs="宋体"/>
                <w:szCs w:val="21"/>
              </w:rPr>
            </w:pPr>
            <w:r>
              <w:rPr>
                <w:rFonts w:hint="eastAsia" w:ascii="宋体" w:hAnsi="宋体" w:cs="宋体"/>
                <w:szCs w:val="21"/>
              </w:rPr>
              <w:t>企业信用等级证书</w:t>
            </w:r>
            <w:r>
              <w:rPr>
                <w:rFonts w:ascii="宋体" w:hAnsi="宋体" w:cs="宋体"/>
                <w:szCs w:val="21"/>
              </w:rPr>
              <w:t>AAA级，得1分；</w:t>
            </w:r>
          </w:p>
          <w:p>
            <w:pPr>
              <w:spacing w:line="360" w:lineRule="auto"/>
              <w:jc w:val="left"/>
              <w:rPr>
                <w:rFonts w:ascii="宋体" w:hAnsi="宋体" w:cs="宋体"/>
                <w:szCs w:val="21"/>
              </w:rPr>
            </w:pPr>
            <w:r>
              <w:rPr>
                <w:rFonts w:hint="eastAsia" w:ascii="宋体" w:hAnsi="宋体" w:cs="宋体"/>
                <w:szCs w:val="21"/>
              </w:rPr>
              <w:t>质量管理体系证书（系统集成），得</w:t>
            </w:r>
            <w:r>
              <w:rPr>
                <w:rFonts w:ascii="宋体" w:hAnsi="宋体" w:cs="宋体"/>
                <w:szCs w:val="21"/>
              </w:rPr>
              <w:t>1分；</w:t>
            </w:r>
          </w:p>
          <w:p>
            <w:pPr>
              <w:spacing w:line="360" w:lineRule="auto"/>
              <w:jc w:val="left"/>
              <w:rPr>
                <w:rFonts w:ascii="宋体" w:hAnsi="宋体" w:cs="宋体"/>
                <w:szCs w:val="21"/>
              </w:rPr>
            </w:pPr>
            <w:r>
              <w:rPr>
                <w:rFonts w:hint="eastAsia" w:ascii="宋体" w:hAnsi="宋体" w:cs="宋体"/>
                <w:szCs w:val="21"/>
              </w:rPr>
              <w:t>没有对应证书不得分。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6" w:type="dxa"/>
            <w:vMerge w:val="continue"/>
            <w:vAlign w:val="center"/>
          </w:tcPr>
          <w:p>
            <w:pPr>
              <w:pStyle w:val="39"/>
              <w:kinsoku w:val="0"/>
              <w:overflowPunct w:val="0"/>
              <w:spacing w:before="88" w:line="360" w:lineRule="auto"/>
              <w:ind w:left="181"/>
              <w:jc w:val="center"/>
              <w:rPr>
                <w:rFonts w:hint="default" w:ascii="宋体" w:hAnsi="宋体"/>
                <w:szCs w:val="21"/>
              </w:rPr>
            </w:pPr>
          </w:p>
        </w:tc>
        <w:tc>
          <w:tcPr>
            <w:tcW w:w="1520" w:type="dxa"/>
            <w:vMerge w:val="continue"/>
            <w:vAlign w:val="center"/>
          </w:tcPr>
          <w:p>
            <w:pPr>
              <w:spacing w:line="360" w:lineRule="auto"/>
              <w:jc w:val="center"/>
              <w:rPr>
                <w:rFonts w:ascii="宋体" w:hAnsi="宋体" w:cs="宋体"/>
                <w:szCs w:val="21"/>
              </w:rPr>
            </w:pPr>
          </w:p>
        </w:tc>
        <w:tc>
          <w:tcPr>
            <w:tcW w:w="1780" w:type="dxa"/>
            <w:vAlign w:val="center"/>
          </w:tcPr>
          <w:p>
            <w:pPr>
              <w:spacing w:line="360" w:lineRule="auto"/>
              <w:jc w:val="center"/>
              <w:rPr>
                <w:rFonts w:ascii="宋体" w:hAnsi="宋体" w:cs="宋体"/>
                <w:szCs w:val="21"/>
              </w:rPr>
            </w:pPr>
            <w:r>
              <w:rPr>
                <w:rFonts w:hint="eastAsia" w:ascii="宋体" w:hAnsi="宋体" w:cs="宋体"/>
                <w:szCs w:val="21"/>
              </w:rPr>
              <w:t>服务能力</w:t>
            </w:r>
          </w:p>
          <w:p>
            <w:pPr>
              <w:spacing w:line="360" w:lineRule="auto"/>
              <w:jc w:val="center"/>
              <w:rPr>
                <w:rFonts w:ascii="宋体" w:hAnsi="宋体" w:cs="宋体"/>
                <w:szCs w:val="21"/>
              </w:rPr>
            </w:pPr>
            <w:r>
              <w:rPr>
                <w:rFonts w:hint="eastAsia" w:ascii="宋体" w:hAnsi="宋体" w:cs="宋体"/>
                <w:szCs w:val="21"/>
              </w:rPr>
              <w:t>（</w:t>
            </w:r>
            <w:r>
              <w:rPr>
                <w:rFonts w:ascii="宋体" w:hAnsi="宋体" w:cs="宋体"/>
                <w:szCs w:val="21"/>
              </w:rPr>
              <w:t>5</w:t>
            </w:r>
            <w:r>
              <w:rPr>
                <w:rFonts w:hint="eastAsia" w:ascii="宋体" w:hAnsi="宋体" w:cs="宋体"/>
                <w:szCs w:val="21"/>
              </w:rPr>
              <w:t>分）</w:t>
            </w:r>
          </w:p>
        </w:tc>
        <w:tc>
          <w:tcPr>
            <w:tcW w:w="5553" w:type="dxa"/>
          </w:tcPr>
          <w:p>
            <w:pPr>
              <w:spacing w:line="360" w:lineRule="auto"/>
              <w:jc w:val="left"/>
              <w:rPr>
                <w:rFonts w:ascii="宋体" w:hAnsi="宋体" w:cs="宋体"/>
                <w:szCs w:val="21"/>
              </w:rPr>
            </w:pPr>
            <w:r>
              <w:rPr>
                <w:rFonts w:hint="eastAsia" w:ascii="宋体" w:hAnsi="宋体" w:cs="宋体"/>
                <w:szCs w:val="21"/>
              </w:rPr>
              <w:t>所使用软件原厂服务承诺，得</w:t>
            </w:r>
            <w:r>
              <w:rPr>
                <w:rFonts w:ascii="宋体" w:hAnsi="宋体" w:cs="宋体"/>
                <w:szCs w:val="21"/>
              </w:rPr>
              <w:t>5分；</w:t>
            </w:r>
          </w:p>
          <w:p>
            <w:pPr>
              <w:spacing w:line="360" w:lineRule="auto"/>
              <w:jc w:val="left"/>
              <w:rPr>
                <w:rFonts w:ascii="宋体" w:hAnsi="宋体" w:cs="宋体"/>
                <w:szCs w:val="21"/>
              </w:rPr>
            </w:pPr>
            <w:r>
              <w:rPr>
                <w:rFonts w:hint="eastAsia" w:ascii="宋体" w:hAnsi="宋体" w:cs="宋体"/>
                <w:szCs w:val="21"/>
              </w:rPr>
              <w:t>没有提交合规材料，不得分</w:t>
            </w:r>
            <w:r>
              <w:rPr>
                <w:rFonts w:ascii="宋体" w:hAnsi="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6" w:type="dxa"/>
            <w:vMerge w:val="continue"/>
            <w:vAlign w:val="center"/>
          </w:tcPr>
          <w:p>
            <w:pPr>
              <w:pStyle w:val="39"/>
              <w:kinsoku w:val="0"/>
              <w:overflowPunct w:val="0"/>
              <w:spacing w:before="88" w:line="360" w:lineRule="auto"/>
              <w:ind w:left="181"/>
              <w:jc w:val="center"/>
              <w:rPr>
                <w:rFonts w:hint="default" w:ascii="宋体" w:hAnsi="宋体"/>
                <w:szCs w:val="21"/>
              </w:rPr>
            </w:pPr>
          </w:p>
        </w:tc>
        <w:tc>
          <w:tcPr>
            <w:tcW w:w="1520" w:type="dxa"/>
            <w:vMerge w:val="restart"/>
            <w:vAlign w:val="center"/>
          </w:tcPr>
          <w:p>
            <w:pPr>
              <w:spacing w:line="360" w:lineRule="auto"/>
              <w:jc w:val="center"/>
              <w:rPr>
                <w:rFonts w:ascii="宋体" w:hAnsi="宋体" w:cs="宋体"/>
                <w:szCs w:val="21"/>
              </w:rPr>
            </w:pPr>
            <w:r>
              <w:rPr>
                <w:rFonts w:hint="eastAsia" w:ascii="宋体" w:hAnsi="宋体" w:cs="宋体"/>
                <w:szCs w:val="21"/>
              </w:rPr>
              <w:t>2.2技术</w:t>
            </w:r>
          </w:p>
          <w:p>
            <w:pPr>
              <w:spacing w:line="360" w:lineRule="auto"/>
              <w:jc w:val="center"/>
              <w:rPr>
                <w:rFonts w:ascii="宋体" w:hAnsi="宋体" w:cs="宋体"/>
                <w:szCs w:val="21"/>
              </w:rPr>
            </w:pPr>
            <w:r>
              <w:rPr>
                <w:rFonts w:hint="eastAsia" w:ascii="宋体" w:hAnsi="宋体" w:cs="宋体"/>
                <w:szCs w:val="21"/>
              </w:rPr>
              <w:t>评分标准</w:t>
            </w:r>
          </w:p>
        </w:tc>
        <w:tc>
          <w:tcPr>
            <w:tcW w:w="1780" w:type="dxa"/>
            <w:vAlign w:val="center"/>
          </w:tcPr>
          <w:p>
            <w:pPr>
              <w:spacing w:line="360" w:lineRule="auto"/>
              <w:jc w:val="center"/>
              <w:rPr>
                <w:rFonts w:ascii="宋体" w:hAnsi="宋体" w:cs="宋体"/>
                <w:szCs w:val="21"/>
              </w:rPr>
            </w:pPr>
            <w:r>
              <w:rPr>
                <w:rFonts w:hint="eastAsia" w:ascii="宋体" w:hAnsi="宋体" w:cs="宋体"/>
                <w:szCs w:val="21"/>
              </w:rPr>
              <w:t>技术参数（10分）</w:t>
            </w:r>
          </w:p>
        </w:tc>
        <w:tc>
          <w:tcPr>
            <w:tcW w:w="5553" w:type="dxa"/>
            <w:vAlign w:val="center"/>
          </w:tcPr>
          <w:p>
            <w:pPr>
              <w:numPr>
                <w:ilvl w:val="0"/>
                <w:numId w:val="15"/>
              </w:numPr>
              <w:spacing w:line="360" w:lineRule="auto"/>
              <w:jc w:val="left"/>
              <w:rPr>
                <w:rFonts w:ascii="宋体" w:hAnsi="宋体" w:cs="宋体"/>
                <w:szCs w:val="21"/>
              </w:rPr>
            </w:pPr>
            <w:r>
              <w:rPr>
                <w:rFonts w:hint="eastAsia" w:ascii="宋体" w:hAnsi="宋体" w:cs="宋体"/>
                <w:szCs w:val="21"/>
              </w:rPr>
              <w:t>完全符合要求，10分；</w:t>
            </w:r>
          </w:p>
          <w:p>
            <w:pPr>
              <w:numPr>
                <w:ilvl w:val="0"/>
                <w:numId w:val="15"/>
              </w:numPr>
              <w:spacing w:line="360" w:lineRule="auto"/>
              <w:jc w:val="left"/>
              <w:rPr>
                <w:rFonts w:ascii="宋体" w:hAnsi="宋体" w:cs="宋体"/>
                <w:szCs w:val="21"/>
              </w:rPr>
            </w:pPr>
            <w:r>
              <w:rPr>
                <w:rFonts w:hint="eastAsia" w:ascii="宋体" w:hAnsi="宋体" w:cs="宋体"/>
                <w:szCs w:val="21"/>
              </w:rPr>
              <w:t>不能满足技术要求每项扣2分；</w:t>
            </w:r>
          </w:p>
          <w:p>
            <w:pPr>
              <w:spacing w:line="360" w:lineRule="auto"/>
              <w:jc w:val="left"/>
              <w:rPr>
                <w:rFonts w:ascii="宋体" w:hAnsi="宋体" w:cs="宋体"/>
                <w:szCs w:val="21"/>
              </w:rPr>
            </w:pPr>
            <w:r>
              <w:rPr>
                <w:rFonts w:hint="eastAsia" w:ascii="宋体" w:hAnsi="宋体" w:cs="宋体"/>
                <w:szCs w:val="21"/>
              </w:rPr>
              <w:t>3、本项10分扣完为止。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6" w:type="dxa"/>
            <w:vMerge w:val="continue"/>
            <w:vAlign w:val="center"/>
          </w:tcPr>
          <w:p>
            <w:pPr>
              <w:pStyle w:val="39"/>
              <w:kinsoku w:val="0"/>
              <w:overflowPunct w:val="0"/>
              <w:spacing w:before="88" w:line="360" w:lineRule="auto"/>
              <w:ind w:left="181"/>
              <w:jc w:val="center"/>
              <w:rPr>
                <w:rFonts w:hint="default" w:ascii="宋体" w:hAnsi="宋体"/>
                <w:szCs w:val="21"/>
              </w:rPr>
            </w:pPr>
          </w:p>
        </w:tc>
        <w:tc>
          <w:tcPr>
            <w:tcW w:w="1520" w:type="dxa"/>
            <w:vMerge w:val="continue"/>
            <w:vAlign w:val="center"/>
          </w:tcPr>
          <w:p>
            <w:pPr>
              <w:spacing w:line="360" w:lineRule="auto"/>
              <w:jc w:val="center"/>
              <w:rPr>
                <w:rFonts w:ascii="宋体" w:hAnsi="宋体" w:cs="宋体"/>
                <w:szCs w:val="21"/>
              </w:rPr>
            </w:pPr>
          </w:p>
        </w:tc>
        <w:tc>
          <w:tcPr>
            <w:tcW w:w="1780" w:type="dxa"/>
            <w:vAlign w:val="center"/>
          </w:tcPr>
          <w:p>
            <w:pPr>
              <w:spacing w:line="360" w:lineRule="auto"/>
              <w:jc w:val="center"/>
              <w:rPr>
                <w:rFonts w:ascii="宋体" w:hAnsi="宋体" w:cs="宋体"/>
                <w:szCs w:val="21"/>
              </w:rPr>
            </w:pPr>
            <w:r>
              <w:rPr>
                <w:rFonts w:hint="eastAsia" w:ascii="宋体" w:hAnsi="宋体" w:cs="宋体"/>
                <w:szCs w:val="21"/>
              </w:rPr>
              <w:t>质量保证措施</w:t>
            </w:r>
          </w:p>
          <w:p>
            <w:pPr>
              <w:spacing w:line="360" w:lineRule="auto"/>
              <w:jc w:val="center"/>
              <w:rPr>
                <w:rFonts w:ascii="宋体" w:hAnsi="宋体" w:cs="宋体"/>
                <w:szCs w:val="21"/>
              </w:rPr>
            </w:pPr>
            <w:r>
              <w:rPr>
                <w:rFonts w:hint="eastAsia" w:ascii="宋体" w:hAnsi="宋体" w:cs="宋体"/>
                <w:szCs w:val="21"/>
              </w:rPr>
              <w:t>（1</w:t>
            </w:r>
            <w:r>
              <w:rPr>
                <w:rFonts w:ascii="宋体" w:hAnsi="宋体" w:cs="宋体"/>
                <w:szCs w:val="21"/>
              </w:rPr>
              <w:t>0</w:t>
            </w:r>
            <w:r>
              <w:rPr>
                <w:rFonts w:hint="eastAsia" w:ascii="宋体" w:hAnsi="宋体" w:cs="宋体"/>
                <w:szCs w:val="21"/>
              </w:rPr>
              <w:t>分）</w:t>
            </w:r>
          </w:p>
        </w:tc>
        <w:tc>
          <w:tcPr>
            <w:tcW w:w="5553" w:type="dxa"/>
            <w:vAlign w:val="center"/>
          </w:tcPr>
          <w:p>
            <w:pPr>
              <w:numPr>
                <w:ilvl w:val="255"/>
                <w:numId w:val="0"/>
              </w:numPr>
              <w:spacing w:line="360" w:lineRule="auto"/>
              <w:jc w:val="left"/>
              <w:rPr>
                <w:rFonts w:ascii="宋体" w:hAnsi="宋体" w:cs="宋体"/>
                <w:szCs w:val="21"/>
              </w:rPr>
            </w:pPr>
            <w:r>
              <w:rPr>
                <w:rFonts w:hint="eastAsia" w:ascii="宋体" w:hAnsi="宋体" w:cs="宋体"/>
                <w:szCs w:val="21"/>
              </w:rPr>
              <w:t>质量保证（共</w:t>
            </w:r>
            <w:r>
              <w:rPr>
                <w:rFonts w:ascii="宋体" w:hAnsi="宋体" w:cs="宋体"/>
                <w:szCs w:val="21"/>
              </w:rPr>
              <w:t>4</w:t>
            </w:r>
            <w:r>
              <w:rPr>
                <w:rFonts w:hint="eastAsia" w:ascii="宋体" w:hAnsi="宋体" w:cs="宋体"/>
                <w:szCs w:val="21"/>
              </w:rPr>
              <w:t>分）：</w:t>
            </w:r>
          </w:p>
          <w:p>
            <w:pPr>
              <w:numPr>
                <w:ilvl w:val="255"/>
                <w:numId w:val="0"/>
              </w:numPr>
              <w:spacing w:line="360" w:lineRule="auto"/>
              <w:jc w:val="left"/>
              <w:rPr>
                <w:rFonts w:ascii="宋体" w:hAnsi="宋体" w:cs="宋体"/>
                <w:szCs w:val="21"/>
              </w:rPr>
            </w:pPr>
            <w:r>
              <w:rPr>
                <w:rFonts w:hint="eastAsia" w:ascii="宋体" w:hAnsi="宋体" w:cs="宋体"/>
                <w:szCs w:val="21"/>
              </w:rPr>
              <w:t>有质量保证措施完善、合理得</w:t>
            </w:r>
            <w:r>
              <w:rPr>
                <w:rFonts w:ascii="宋体" w:hAnsi="宋体" w:cs="宋体"/>
                <w:szCs w:val="21"/>
              </w:rPr>
              <w:t>4</w:t>
            </w:r>
            <w:r>
              <w:rPr>
                <w:rFonts w:hint="eastAsia" w:ascii="宋体" w:hAnsi="宋体" w:cs="宋体"/>
                <w:szCs w:val="21"/>
              </w:rPr>
              <w:t>分；</w:t>
            </w:r>
          </w:p>
          <w:p>
            <w:pPr>
              <w:spacing w:line="360" w:lineRule="auto"/>
              <w:jc w:val="left"/>
              <w:rPr>
                <w:rFonts w:ascii="宋体" w:hAnsi="宋体" w:cs="宋体"/>
                <w:szCs w:val="21"/>
              </w:rPr>
            </w:pPr>
            <w:r>
              <w:rPr>
                <w:rFonts w:hint="eastAsia" w:ascii="宋体" w:hAnsi="宋体" w:cs="宋体"/>
                <w:szCs w:val="21"/>
              </w:rPr>
              <w:t>有质量保障措施一般</w:t>
            </w:r>
            <w:r>
              <w:rPr>
                <w:rFonts w:ascii="宋体" w:hAnsi="宋体" w:cs="宋体"/>
                <w:szCs w:val="21"/>
              </w:rPr>
              <w:t>2</w:t>
            </w:r>
            <w:r>
              <w:rPr>
                <w:rFonts w:hint="eastAsia" w:ascii="宋体" w:hAnsi="宋体" w:cs="宋体"/>
                <w:szCs w:val="21"/>
              </w:rPr>
              <w:t>-</w:t>
            </w:r>
            <w:r>
              <w:rPr>
                <w:rFonts w:ascii="宋体" w:hAnsi="宋体" w:cs="宋体"/>
                <w:szCs w:val="21"/>
              </w:rPr>
              <w:t>3</w:t>
            </w:r>
            <w:r>
              <w:rPr>
                <w:rFonts w:hint="eastAsia" w:ascii="宋体" w:hAnsi="宋体" w:cs="宋体"/>
                <w:szCs w:val="21"/>
              </w:rPr>
              <w:t>分；</w:t>
            </w:r>
          </w:p>
          <w:p>
            <w:pPr>
              <w:spacing w:line="360" w:lineRule="auto"/>
              <w:jc w:val="left"/>
              <w:rPr>
                <w:rFonts w:ascii="宋体" w:hAnsi="宋体" w:cs="宋体"/>
                <w:szCs w:val="21"/>
              </w:rPr>
            </w:pPr>
            <w:r>
              <w:rPr>
                <w:rFonts w:hint="eastAsia" w:ascii="宋体" w:hAnsi="宋体" w:cs="宋体"/>
                <w:szCs w:val="21"/>
              </w:rPr>
              <w:t>质量保证措施欠合理或针对性不强1-2分；</w:t>
            </w:r>
          </w:p>
          <w:p>
            <w:pPr>
              <w:spacing w:line="360" w:lineRule="auto"/>
              <w:jc w:val="left"/>
              <w:rPr>
                <w:rFonts w:ascii="宋体" w:hAnsi="宋体" w:cs="宋体"/>
                <w:szCs w:val="21"/>
              </w:rPr>
            </w:pPr>
            <w:r>
              <w:rPr>
                <w:rFonts w:hint="eastAsia" w:ascii="宋体" w:hAnsi="宋体" w:cs="宋体"/>
                <w:szCs w:val="21"/>
              </w:rPr>
              <w:t>没有质量保证措施不得分。</w:t>
            </w:r>
          </w:p>
          <w:p>
            <w:pPr>
              <w:spacing w:line="360" w:lineRule="auto"/>
              <w:jc w:val="left"/>
              <w:rPr>
                <w:rFonts w:ascii="宋体" w:hAnsi="宋体" w:cs="宋体"/>
                <w:szCs w:val="21"/>
              </w:rPr>
            </w:pPr>
            <w:r>
              <w:rPr>
                <w:rFonts w:hint="eastAsia" w:ascii="宋体" w:hAnsi="宋体" w:cs="宋体"/>
                <w:szCs w:val="21"/>
              </w:rPr>
              <w:t>提供系统监控界面截图,监控截图（共</w:t>
            </w:r>
            <w:r>
              <w:rPr>
                <w:rFonts w:ascii="宋体" w:hAnsi="宋体" w:cs="宋体"/>
                <w:szCs w:val="21"/>
              </w:rPr>
              <w:t>6</w:t>
            </w:r>
            <w:r>
              <w:rPr>
                <w:rFonts w:hint="eastAsia" w:ascii="宋体" w:hAnsi="宋体" w:cs="宋体"/>
                <w:szCs w:val="21"/>
              </w:rPr>
              <w:t>分）：</w:t>
            </w:r>
          </w:p>
          <w:p>
            <w:pPr>
              <w:numPr>
                <w:ilvl w:val="255"/>
                <w:numId w:val="0"/>
              </w:numPr>
              <w:spacing w:line="360" w:lineRule="auto"/>
              <w:jc w:val="left"/>
              <w:rPr>
                <w:rFonts w:ascii="宋体" w:hAnsi="宋体" w:cs="宋体"/>
                <w:szCs w:val="21"/>
              </w:rPr>
            </w:pPr>
            <w:r>
              <w:rPr>
                <w:rFonts w:hint="eastAsia" w:ascii="宋体" w:hAnsi="宋体" w:cs="宋体"/>
                <w:szCs w:val="21"/>
              </w:rPr>
              <w:t>1）全部容灾配置状态图：能全面反应全局运行情况得</w:t>
            </w:r>
            <w:r>
              <w:rPr>
                <w:rFonts w:ascii="宋体" w:hAnsi="宋体" w:cs="宋体"/>
                <w:szCs w:val="21"/>
              </w:rPr>
              <w:t>2</w:t>
            </w:r>
            <w:r>
              <w:rPr>
                <w:rFonts w:hint="eastAsia" w:ascii="宋体" w:hAnsi="宋体" w:cs="宋体"/>
                <w:szCs w:val="21"/>
              </w:rPr>
              <w:t>分；信息反馈不全1分；无图不得分。</w:t>
            </w:r>
          </w:p>
          <w:p>
            <w:pPr>
              <w:numPr>
                <w:ilvl w:val="255"/>
                <w:numId w:val="0"/>
              </w:numPr>
              <w:spacing w:line="360" w:lineRule="auto"/>
              <w:jc w:val="left"/>
              <w:rPr>
                <w:rFonts w:ascii="宋体" w:hAnsi="宋体" w:cs="宋体"/>
                <w:szCs w:val="21"/>
              </w:rPr>
            </w:pPr>
            <w:r>
              <w:rPr>
                <w:rFonts w:hint="eastAsia" w:ascii="宋体" w:hAnsi="宋体" w:cs="宋体"/>
                <w:szCs w:val="21"/>
              </w:rPr>
              <w:t>2）全部容灾详细状态图：能全局详细运行情况得</w:t>
            </w:r>
            <w:r>
              <w:rPr>
                <w:rFonts w:ascii="宋体" w:hAnsi="宋体" w:cs="宋体"/>
                <w:szCs w:val="21"/>
              </w:rPr>
              <w:t>2</w:t>
            </w:r>
            <w:r>
              <w:rPr>
                <w:rFonts w:hint="eastAsia" w:ascii="宋体" w:hAnsi="宋体" w:cs="宋体"/>
                <w:szCs w:val="21"/>
              </w:rPr>
              <w:t>分；信息反馈不全1分；无图不得分。</w:t>
            </w:r>
          </w:p>
          <w:p>
            <w:pPr>
              <w:numPr>
                <w:ilvl w:val="255"/>
                <w:numId w:val="0"/>
              </w:numPr>
              <w:spacing w:line="360" w:lineRule="auto"/>
              <w:jc w:val="left"/>
              <w:rPr>
                <w:rFonts w:ascii="宋体" w:hAnsi="宋体" w:cs="宋体"/>
                <w:szCs w:val="21"/>
              </w:rPr>
            </w:pPr>
            <w:r>
              <w:rPr>
                <w:rFonts w:hint="eastAsia" w:ascii="宋体" w:hAnsi="宋体" w:cs="宋体"/>
                <w:szCs w:val="21"/>
              </w:rPr>
              <w:t>3）单个数据库容灾详细监控状态图：能够反应单个数据库的容灾详细信息，且具有源端、目标端对比，得</w:t>
            </w:r>
            <w:r>
              <w:rPr>
                <w:rFonts w:ascii="宋体" w:hAnsi="宋体" w:cs="宋体"/>
                <w:szCs w:val="21"/>
              </w:rPr>
              <w:t>2</w:t>
            </w:r>
            <w:r>
              <w:rPr>
                <w:rFonts w:hint="eastAsia" w:ascii="宋体" w:hAnsi="宋体" w:cs="宋体"/>
                <w:szCs w:val="21"/>
              </w:rPr>
              <w:t>分；信息反馈不全1分；无图不得分；。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6" w:type="dxa"/>
            <w:vMerge w:val="continue"/>
            <w:vAlign w:val="center"/>
          </w:tcPr>
          <w:p>
            <w:pPr>
              <w:pStyle w:val="39"/>
              <w:kinsoku w:val="0"/>
              <w:overflowPunct w:val="0"/>
              <w:spacing w:before="88" w:line="360" w:lineRule="auto"/>
              <w:ind w:left="181"/>
              <w:jc w:val="center"/>
              <w:rPr>
                <w:rFonts w:hint="default" w:ascii="宋体" w:hAnsi="宋体"/>
                <w:szCs w:val="21"/>
              </w:rPr>
            </w:pPr>
          </w:p>
        </w:tc>
        <w:tc>
          <w:tcPr>
            <w:tcW w:w="1520" w:type="dxa"/>
            <w:vMerge w:val="continue"/>
            <w:vAlign w:val="center"/>
          </w:tcPr>
          <w:p>
            <w:pPr>
              <w:spacing w:line="360" w:lineRule="auto"/>
              <w:jc w:val="center"/>
              <w:rPr>
                <w:rFonts w:ascii="宋体" w:hAnsi="宋体" w:cs="宋体"/>
                <w:szCs w:val="21"/>
              </w:rPr>
            </w:pPr>
          </w:p>
        </w:tc>
        <w:tc>
          <w:tcPr>
            <w:tcW w:w="1780" w:type="dxa"/>
            <w:vAlign w:val="center"/>
          </w:tcPr>
          <w:p>
            <w:pPr>
              <w:spacing w:line="360" w:lineRule="auto"/>
              <w:jc w:val="center"/>
              <w:rPr>
                <w:rFonts w:ascii="宋体" w:hAnsi="宋体" w:cs="宋体"/>
                <w:szCs w:val="21"/>
              </w:rPr>
            </w:pPr>
          </w:p>
          <w:p>
            <w:pPr>
              <w:spacing w:line="360" w:lineRule="auto"/>
              <w:jc w:val="center"/>
              <w:rPr>
                <w:rFonts w:ascii="宋体" w:hAnsi="宋体" w:cs="宋体"/>
                <w:szCs w:val="21"/>
              </w:rPr>
            </w:pPr>
            <w:r>
              <w:rPr>
                <w:rFonts w:hint="eastAsia" w:ascii="宋体" w:hAnsi="宋体" w:cs="宋体"/>
                <w:szCs w:val="21"/>
              </w:rPr>
              <w:t>实施方案</w:t>
            </w:r>
          </w:p>
          <w:p>
            <w:pPr>
              <w:spacing w:line="360" w:lineRule="auto"/>
              <w:jc w:val="center"/>
              <w:rPr>
                <w:rFonts w:ascii="宋体" w:hAnsi="宋体" w:cs="宋体"/>
                <w:szCs w:val="21"/>
              </w:rPr>
            </w:pPr>
            <w:r>
              <w:rPr>
                <w:rFonts w:hint="eastAsia" w:ascii="宋体" w:hAnsi="宋体" w:cs="宋体"/>
                <w:szCs w:val="21"/>
              </w:rPr>
              <w:t>（10分）</w:t>
            </w:r>
          </w:p>
          <w:p>
            <w:pPr>
              <w:spacing w:line="360" w:lineRule="auto"/>
              <w:jc w:val="center"/>
              <w:rPr>
                <w:rFonts w:ascii="宋体" w:hAnsi="宋体" w:cs="宋体"/>
                <w:szCs w:val="21"/>
              </w:rPr>
            </w:pPr>
          </w:p>
        </w:tc>
        <w:tc>
          <w:tcPr>
            <w:tcW w:w="5553" w:type="dxa"/>
            <w:vAlign w:val="center"/>
          </w:tcPr>
          <w:p>
            <w:pPr>
              <w:numPr>
                <w:ilvl w:val="255"/>
                <w:numId w:val="0"/>
              </w:numPr>
              <w:spacing w:line="360" w:lineRule="auto"/>
              <w:jc w:val="left"/>
              <w:rPr>
                <w:rFonts w:ascii="宋体" w:hAnsi="宋体" w:cs="宋体"/>
                <w:szCs w:val="21"/>
              </w:rPr>
            </w:pPr>
            <w:r>
              <w:rPr>
                <w:rFonts w:hint="eastAsia" w:ascii="宋体" w:hAnsi="宋体" w:cs="宋体"/>
                <w:szCs w:val="21"/>
              </w:rPr>
              <w:t>1、实施方案完善、合理得8-10分；</w:t>
            </w:r>
          </w:p>
          <w:p>
            <w:pPr>
              <w:spacing w:line="360" w:lineRule="auto"/>
              <w:jc w:val="left"/>
              <w:rPr>
                <w:rFonts w:ascii="宋体" w:hAnsi="宋体" w:cs="宋体"/>
                <w:szCs w:val="21"/>
              </w:rPr>
            </w:pPr>
            <w:r>
              <w:rPr>
                <w:rFonts w:hint="eastAsia" w:ascii="宋体" w:hAnsi="宋体" w:cs="宋体"/>
                <w:szCs w:val="21"/>
              </w:rPr>
              <w:t>2、实施方案一般4-7分；</w:t>
            </w:r>
          </w:p>
          <w:p>
            <w:pPr>
              <w:spacing w:line="360" w:lineRule="auto"/>
              <w:jc w:val="left"/>
              <w:rPr>
                <w:rFonts w:ascii="宋体" w:hAnsi="宋体" w:cs="宋体"/>
                <w:szCs w:val="21"/>
              </w:rPr>
            </w:pPr>
            <w:r>
              <w:rPr>
                <w:rFonts w:hint="eastAsia" w:ascii="宋体" w:hAnsi="宋体" w:cs="宋体"/>
                <w:szCs w:val="21"/>
              </w:rPr>
              <w:t>3、实施方案欠合理或针对性不强0-3分；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6" w:type="dxa"/>
            <w:vMerge w:val="continue"/>
            <w:vAlign w:val="center"/>
          </w:tcPr>
          <w:p>
            <w:pPr>
              <w:pStyle w:val="39"/>
              <w:kinsoku w:val="0"/>
              <w:overflowPunct w:val="0"/>
              <w:spacing w:before="88" w:line="360" w:lineRule="auto"/>
              <w:ind w:left="181"/>
              <w:jc w:val="center"/>
              <w:rPr>
                <w:rFonts w:hint="default" w:ascii="宋体" w:hAnsi="宋体"/>
                <w:szCs w:val="21"/>
              </w:rPr>
            </w:pPr>
          </w:p>
        </w:tc>
        <w:tc>
          <w:tcPr>
            <w:tcW w:w="1520" w:type="dxa"/>
            <w:vMerge w:val="continue"/>
            <w:vAlign w:val="center"/>
          </w:tcPr>
          <w:p>
            <w:pPr>
              <w:spacing w:line="360" w:lineRule="auto"/>
              <w:jc w:val="center"/>
              <w:rPr>
                <w:rFonts w:ascii="宋体" w:hAnsi="宋体" w:cs="宋体"/>
                <w:szCs w:val="21"/>
              </w:rPr>
            </w:pPr>
          </w:p>
        </w:tc>
        <w:tc>
          <w:tcPr>
            <w:tcW w:w="1780" w:type="dxa"/>
            <w:vAlign w:val="center"/>
          </w:tcPr>
          <w:p>
            <w:pPr>
              <w:spacing w:line="360" w:lineRule="auto"/>
              <w:jc w:val="center"/>
              <w:rPr>
                <w:rFonts w:ascii="宋体" w:hAnsi="宋体" w:cs="宋体"/>
                <w:szCs w:val="21"/>
              </w:rPr>
            </w:pPr>
            <w:r>
              <w:rPr>
                <w:rFonts w:hint="eastAsia" w:ascii="宋体" w:hAnsi="宋体" w:cs="宋体"/>
                <w:szCs w:val="21"/>
              </w:rPr>
              <w:t>售后服务</w:t>
            </w:r>
          </w:p>
          <w:p>
            <w:pPr>
              <w:spacing w:line="360" w:lineRule="auto"/>
              <w:jc w:val="center"/>
              <w:rPr>
                <w:rFonts w:ascii="宋体" w:hAnsi="宋体" w:cs="宋体"/>
                <w:szCs w:val="21"/>
              </w:rPr>
            </w:pPr>
            <w:r>
              <w:rPr>
                <w:rFonts w:hint="eastAsia" w:ascii="宋体" w:hAnsi="宋体" w:cs="宋体"/>
                <w:szCs w:val="21"/>
              </w:rPr>
              <w:t>（</w:t>
            </w:r>
            <w:r>
              <w:rPr>
                <w:rFonts w:ascii="宋体" w:hAnsi="宋体" w:cs="宋体"/>
                <w:szCs w:val="21"/>
              </w:rPr>
              <w:t>10</w:t>
            </w:r>
            <w:r>
              <w:rPr>
                <w:rFonts w:hint="eastAsia" w:ascii="宋体" w:hAnsi="宋体" w:cs="宋体"/>
                <w:szCs w:val="21"/>
              </w:rPr>
              <w:t>分）</w:t>
            </w:r>
          </w:p>
        </w:tc>
        <w:tc>
          <w:tcPr>
            <w:tcW w:w="5553" w:type="dxa"/>
          </w:tcPr>
          <w:p>
            <w:pPr>
              <w:spacing w:line="360" w:lineRule="auto"/>
              <w:rPr>
                <w:rFonts w:ascii="宋体" w:hAnsi="宋体" w:cs="宋体"/>
                <w:szCs w:val="21"/>
              </w:rPr>
            </w:pPr>
            <w:r>
              <w:rPr>
                <w:rFonts w:hint="eastAsia" w:ascii="宋体" w:hAnsi="宋体" w:cs="宋体"/>
                <w:szCs w:val="21"/>
              </w:rPr>
              <w:t>售后部分人员能力资质共4分：（提供复印件）</w:t>
            </w:r>
          </w:p>
          <w:p>
            <w:pPr>
              <w:spacing w:line="360" w:lineRule="auto"/>
              <w:rPr>
                <w:rFonts w:ascii="宋体" w:hAnsi="宋体" w:cs="宋体"/>
                <w:szCs w:val="21"/>
              </w:rPr>
            </w:pPr>
            <w:r>
              <w:rPr>
                <w:rFonts w:hint="eastAsia" w:ascii="宋体" w:hAnsi="宋体" w:cs="宋体"/>
                <w:szCs w:val="21"/>
              </w:rPr>
              <w:t>操作系统管理证书得1分；</w:t>
            </w:r>
          </w:p>
          <w:p>
            <w:pPr>
              <w:spacing w:line="360" w:lineRule="auto"/>
              <w:rPr>
                <w:rFonts w:ascii="宋体" w:hAnsi="宋体" w:cs="宋体"/>
                <w:szCs w:val="21"/>
              </w:rPr>
            </w:pPr>
            <w:r>
              <w:rPr>
                <w:rFonts w:hint="eastAsia" w:ascii="宋体" w:hAnsi="宋体" w:cs="宋体"/>
                <w:szCs w:val="21"/>
              </w:rPr>
              <w:t>存储系统管理证书得1分；</w:t>
            </w:r>
          </w:p>
          <w:p>
            <w:pPr>
              <w:spacing w:line="360" w:lineRule="auto"/>
              <w:rPr>
                <w:rFonts w:ascii="宋体" w:hAnsi="宋体" w:cs="宋体"/>
                <w:szCs w:val="21"/>
              </w:rPr>
            </w:pPr>
            <w:r>
              <w:rPr>
                <w:rFonts w:hint="eastAsia" w:ascii="宋体" w:hAnsi="宋体" w:cs="宋体"/>
                <w:szCs w:val="21"/>
              </w:rPr>
              <w:t>数据库管理证书得1分；</w:t>
            </w:r>
          </w:p>
          <w:p>
            <w:pPr>
              <w:spacing w:line="360" w:lineRule="auto"/>
              <w:rPr>
                <w:rFonts w:ascii="宋体" w:hAnsi="宋体" w:cs="宋体"/>
                <w:szCs w:val="21"/>
              </w:rPr>
            </w:pPr>
            <w:r>
              <w:rPr>
                <w:rFonts w:hint="eastAsia" w:ascii="宋体" w:hAnsi="宋体" w:cs="宋体"/>
                <w:szCs w:val="21"/>
              </w:rPr>
              <w:t>项目管理证书得1分；</w:t>
            </w:r>
          </w:p>
          <w:p>
            <w:pPr>
              <w:spacing w:line="360" w:lineRule="auto"/>
              <w:rPr>
                <w:rFonts w:ascii="宋体" w:hAnsi="宋体" w:cs="宋体"/>
                <w:szCs w:val="21"/>
              </w:rPr>
            </w:pPr>
            <w:r>
              <w:rPr>
                <w:rFonts w:hint="eastAsia" w:ascii="宋体" w:hAnsi="宋体" w:cs="宋体"/>
                <w:szCs w:val="21"/>
              </w:rPr>
              <w:t>售后服务体系和水平，</w:t>
            </w:r>
          </w:p>
          <w:p>
            <w:pPr>
              <w:spacing w:line="360" w:lineRule="auto"/>
              <w:rPr>
                <w:rFonts w:ascii="宋体" w:hAnsi="宋体" w:cs="宋体"/>
                <w:szCs w:val="21"/>
              </w:rPr>
            </w:pPr>
            <w:r>
              <w:rPr>
                <w:rFonts w:hint="eastAsia" w:ascii="宋体" w:hAnsi="宋体" w:cs="宋体"/>
                <w:szCs w:val="21"/>
              </w:rPr>
              <w:t>包括支持及可选的维护服务承诺、问题的响应及排除、现场及电话技术支持、定期技术巡检、技术咨询交流及增值服务承诺等由专家根据售后服务承诺的完整性，服务体系完备性的描述综合评比：</w:t>
            </w:r>
          </w:p>
          <w:p>
            <w:pPr>
              <w:spacing w:line="360" w:lineRule="auto"/>
              <w:rPr>
                <w:rFonts w:ascii="宋体" w:hAnsi="宋体" w:cs="宋体"/>
                <w:szCs w:val="21"/>
              </w:rPr>
            </w:pPr>
            <w:r>
              <w:rPr>
                <w:rFonts w:hint="eastAsia" w:ascii="宋体" w:hAnsi="宋体" w:cs="宋体"/>
                <w:szCs w:val="21"/>
              </w:rPr>
              <w:t>内容完整，服务措施较好得</w:t>
            </w:r>
            <w:r>
              <w:rPr>
                <w:rFonts w:ascii="宋体" w:hAnsi="宋体" w:cs="宋体"/>
                <w:szCs w:val="21"/>
              </w:rPr>
              <w:t>6</w:t>
            </w:r>
            <w:r>
              <w:rPr>
                <w:rFonts w:hint="eastAsia" w:ascii="宋体" w:hAnsi="宋体" w:cs="宋体"/>
                <w:szCs w:val="21"/>
              </w:rPr>
              <w:t>分，</w:t>
            </w:r>
          </w:p>
          <w:p>
            <w:pPr>
              <w:spacing w:line="360" w:lineRule="auto"/>
              <w:rPr>
                <w:rFonts w:ascii="宋体" w:hAnsi="宋体" w:cs="宋体"/>
                <w:szCs w:val="21"/>
              </w:rPr>
            </w:pPr>
            <w:r>
              <w:rPr>
                <w:rFonts w:hint="eastAsia" w:ascii="宋体" w:hAnsi="宋体" w:cs="宋体"/>
                <w:szCs w:val="21"/>
              </w:rPr>
              <w:t>一般得2-3分，</w:t>
            </w:r>
          </w:p>
          <w:p>
            <w:pPr>
              <w:spacing w:line="360" w:lineRule="auto"/>
              <w:rPr>
                <w:rFonts w:ascii="宋体" w:hAnsi="宋体" w:cs="宋体"/>
                <w:szCs w:val="21"/>
              </w:rPr>
            </w:pPr>
            <w:r>
              <w:rPr>
                <w:rFonts w:hint="eastAsia" w:ascii="宋体" w:hAnsi="宋体" w:cs="宋体"/>
                <w:szCs w:val="21"/>
              </w:rPr>
              <w:t>较差或没有描述得0分。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6" w:type="dxa"/>
            <w:vMerge w:val="continue"/>
            <w:vAlign w:val="center"/>
          </w:tcPr>
          <w:p>
            <w:pPr>
              <w:pStyle w:val="39"/>
              <w:kinsoku w:val="0"/>
              <w:overflowPunct w:val="0"/>
              <w:spacing w:before="88" w:line="360" w:lineRule="auto"/>
              <w:ind w:left="181"/>
              <w:jc w:val="center"/>
              <w:rPr>
                <w:rFonts w:hint="default" w:ascii="宋体" w:hAnsi="宋体"/>
                <w:sz w:val="21"/>
                <w:szCs w:val="21"/>
              </w:rPr>
            </w:pPr>
          </w:p>
        </w:tc>
        <w:tc>
          <w:tcPr>
            <w:tcW w:w="1520" w:type="dxa"/>
            <w:vAlign w:val="center"/>
          </w:tcPr>
          <w:p>
            <w:pPr>
              <w:pStyle w:val="39"/>
              <w:kinsoku w:val="0"/>
              <w:overflowPunct w:val="0"/>
              <w:spacing w:before="3" w:line="360" w:lineRule="auto"/>
              <w:ind w:left="135"/>
              <w:jc w:val="center"/>
              <w:rPr>
                <w:rFonts w:hint="default" w:ascii="宋体" w:hAnsi="宋体"/>
                <w:sz w:val="21"/>
                <w:szCs w:val="21"/>
              </w:rPr>
            </w:pPr>
            <w:r>
              <w:rPr>
                <w:rFonts w:ascii="宋体" w:hAnsi="宋体"/>
                <w:sz w:val="21"/>
                <w:szCs w:val="21"/>
              </w:rPr>
              <w:t>2.3投标报价</w:t>
            </w:r>
          </w:p>
          <w:p>
            <w:pPr>
              <w:pStyle w:val="39"/>
              <w:kinsoku w:val="0"/>
              <w:overflowPunct w:val="0"/>
              <w:spacing w:before="3" w:line="360" w:lineRule="auto"/>
              <w:ind w:left="135"/>
              <w:jc w:val="center"/>
              <w:rPr>
                <w:rFonts w:hint="default" w:ascii="宋体" w:hAnsi="宋体"/>
                <w:sz w:val="21"/>
                <w:szCs w:val="21"/>
              </w:rPr>
            </w:pPr>
            <w:r>
              <w:rPr>
                <w:rFonts w:ascii="宋体" w:hAnsi="宋体"/>
                <w:sz w:val="21"/>
                <w:szCs w:val="21"/>
              </w:rPr>
              <w:t>评分标准</w:t>
            </w:r>
          </w:p>
        </w:tc>
        <w:tc>
          <w:tcPr>
            <w:tcW w:w="1780" w:type="dxa"/>
            <w:vAlign w:val="center"/>
          </w:tcPr>
          <w:p>
            <w:pPr>
              <w:pStyle w:val="39"/>
              <w:kinsoku w:val="0"/>
              <w:overflowPunct w:val="0"/>
              <w:spacing w:before="44" w:line="360" w:lineRule="auto"/>
              <w:ind w:left="135"/>
              <w:jc w:val="center"/>
              <w:rPr>
                <w:rFonts w:hint="default" w:ascii="宋体" w:hAnsi="宋体"/>
                <w:sz w:val="21"/>
                <w:szCs w:val="21"/>
              </w:rPr>
            </w:pPr>
            <w:r>
              <w:rPr>
                <w:rFonts w:ascii="宋体" w:hAnsi="宋体"/>
                <w:sz w:val="21"/>
                <w:szCs w:val="21"/>
              </w:rPr>
              <w:t>投标报价</w:t>
            </w:r>
          </w:p>
          <w:p>
            <w:pPr>
              <w:pStyle w:val="39"/>
              <w:kinsoku w:val="0"/>
              <w:overflowPunct w:val="0"/>
              <w:spacing w:before="44" w:line="360" w:lineRule="auto"/>
              <w:ind w:left="135"/>
              <w:jc w:val="center"/>
              <w:rPr>
                <w:rFonts w:hint="default" w:ascii="宋体" w:hAnsi="宋体"/>
                <w:sz w:val="21"/>
                <w:szCs w:val="21"/>
              </w:rPr>
            </w:pPr>
            <w:r>
              <w:rPr>
                <w:rFonts w:ascii="宋体" w:hAnsi="宋体"/>
                <w:sz w:val="21"/>
                <w:szCs w:val="21"/>
              </w:rPr>
              <w:t>(50分)</w:t>
            </w:r>
          </w:p>
        </w:tc>
        <w:tc>
          <w:tcPr>
            <w:tcW w:w="5553" w:type="dxa"/>
            <w:vAlign w:val="center"/>
          </w:tcPr>
          <w:p>
            <w:pPr>
              <w:spacing w:line="360" w:lineRule="auto"/>
              <w:rPr>
                <w:rFonts w:ascii="宋体" w:hAnsi="宋体" w:cs="宋体"/>
                <w:szCs w:val="21"/>
              </w:rPr>
            </w:pPr>
            <w:r>
              <w:rPr>
                <w:rFonts w:hint="eastAsia" w:ascii="宋体" w:hAnsi="宋体" w:cs="宋体"/>
                <w:szCs w:val="21"/>
              </w:rPr>
              <w:t xml:space="preserve">本次有效投标报价的平均价为基准价，与评标基准价相比，有效投标报价等于评标基准价的报价得50分，以此基准价为基础，投标报价每再高一个百分点减1分，每再低一个百分点减0.5分减完为止。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6" w:type="dxa"/>
            <w:vAlign w:val="center"/>
          </w:tcPr>
          <w:p>
            <w:pPr>
              <w:pBdr>
                <w:between w:val="single" w:color="auto" w:sz="4" w:space="0"/>
              </w:pBdr>
              <w:spacing w:line="360" w:lineRule="auto"/>
              <w:jc w:val="center"/>
              <w:rPr>
                <w:rFonts w:ascii="宋体" w:hAnsi="宋体" w:cs="宋体"/>
                <w:b/>
                <w:bCs/>
                <w:kern w:val="0"/>
                <w:szCs w:val="21"/>
              </w:rPr>
            </w:pPr>
            <w:r>
              <w:rPr>
                <w:rFonts w:hint="eastAsia" w:ascii="宋体" w:hAnsi="宋体" w:cs="宋体"/>
                <w:b/>
                <w:bCs/>
                <w:kern w:val="0"/>
                <w:szCs w:val="21"/>
              </w:rPr>
              <w:t>条款号</w:t>
            </w:r>
          </w:p>
        </w:tc>
        <w:tc>
          <w:tcPr>
            <w:tcW w:w="3300" w:type="dxa"/>
            <w:gridSpan w:val="2"/>
            <w:vAlign w:val="center"/>
          </w:tcPr>
          <w:p>
            <w:pPr>
              <w:pBdr>
                <w:between w:val="single" w:color="auto" w:sz="4" w:space="0"/>
              </w:pBdr>
              <w:spacing w:line="360" w:lineRule="auto"/>
              <w:jc w:val="center"/>
              <w:rPr>
                <w:rFonts w:ascii="宋体" w:hAnsi="宋体" w:cs="宋体"/>
                <w:b/>
                <w:bCs/>
                <w:kern w:val="0"/>
                <w:szCs w:val="21"/>
              </w:rPr>
            </w:pPr>
            <w:r>
              <w:rPr>
                <w:rFonts w:hint="eastAsia" w:ascii="宋体" w:hAnsi="宋体" w:cs="宋体"/>
                <w:b/>
                <w:bCs/>
                <w:kern w:val="0"/>
                <w:szCs w:val="21"/>
              </w:rPr>
              <w:t>条款内容</w:t>
            </w:r>
          </w:p>
        </w:tc>
        <w:tc>
          <w:tcPr>
            <w:tcW w:w="5553" w:type="dxa"/>
            <w:vAlign w:val="center"/>
          </w:tcPr>
          <w:p>
            <w:pPr>
              <w:pBdr>
                <w:between w:val="single" w:color="auto" w:sz="4" w:space="0"/>
              </w:pBdr>
              <w:spacing w:line="360" w:lineRule="auto"/>
              <w:jc w:val="center"/>
              <w:rPr>
                <w:rFonts w:ascii="宋体" w:hAnsi="宋体" w:cs="宋体"/>
                <w:b/>
                <w:bCs/>
                <w:kern w:val="0"/>
                <w:szCs w:val="21"/>
              </w:rPr>
            </w:pPr>
            <w:r>
              <w:rPr>
                <w:rFonts w:hint="eastAsia" w:ascii="宋体" w:hAnsi="宋体" w:cs="宋体"/>
                <w:b/>
                <w:bCs/>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34" w:hRule="atLeast"/>
          <w:jc w:val="center"/>
        </w:trPr>
        <w:tc>
          <w:tcPr>
            <w:tcW w:w="966" w:type="dxa"/>
            <w:vAlign w:val="center"/>
          </w:tcPr>
          <w:p>
            <w:pPr>
              <w:pBdr>
                <w:between w:val="single" w:color="auto" w:sz="4" w:space="0"/>
              </w:pBdr>
              <w:spacing w:line="360" w:lineRule="auto"/>
              <w:jc w:val="center"/>
              <w:rPr>
                <w:rFonts w:ascii="宋体" w:hAnsi="宋体" w:cs="宋体"/>
                <w:szCs w:val="21"/>
              </w:rPr>
            </w:pPr>
            <w:r>
              <w:rPr>
                <w:rFonts w:hint="eastAsia" w:ascii="宋体" w:hAnsi="宋体" w:cs="宋体"/>
                <w:szCs w:val="21"/>
              </w:rPr>
              <w:t>3</w:t>
            </w:r>
          </w:p>
        </w:tc>
        <w:tc>
          <w:tcPr>
            <w:tcW w:w="3300" w:type="dxa"/>
            <w:gridSpan w:val="2"/>
            <w:vAlign w:val="center"/>
          </w:tcPr>
          <w:p>
            <w:pPr>
              <w:adjustRightInd w:val="0"/>
              <w:snapToGrid w:val="0"/>
              <w:spacing w:line="360" w:lineRule="auto"/>
              <w:jc w:val="left"/>
              <w:rPr>
                <w:rFonts w:ascii="宋体" w:hAnsi="宋体" w:cs="宋体"/>
                <w:szCs w:val="21"/>
              </w:rPr>
            </w:pPr>
            <w:r>
              <w:rPr>
                <w:rFonts w:hint="eastAsia" w:ascii="宋体" w:hAnsi="宋体" w:cs="宋体"/>
                <w:szCs w:val="21"/>
              </w:rPr>
              <w:t>各供应商的最终评定办法</w:t>
            </w:r>
          </w:p>
        </w:tc>
        <w:tc>
          <w:tcPr>
            <w:tcW w:w="5553" w:type="dxa"/>
            <w:vAlign w:val="center"/>
          </w:tcPr>
          <w:p>
            <w:pPr>
              <w:adjustRightInd w:val="0"/>
              <w:snapToGrid w:val="0"/>
              <w:spacing w:line="360" w:lineRule="auto"/>
              <w:jc w:val="left"/>
              <w:rPr>
                <w:rFonts w:ascii="宋体" w:hAnsi="宋体" w:cs="宋体"/>
                <w:szCs w:val="21"/>
              </w:rPr>
            </w:pPr>
            <w:r>
              <w:rPr>
                <w:rFonts w:hint="eastAsia" w:ascii="宋体" w:hAnsi="宋体" w:cs="宋体"/>
                <w:szCs w:val="21"/>
              </w:rPr>
              <w:t>各投标人的最终评定由公开采购评标委员会在技术部分和商务部分、报价得分综合各供应商的汇总得分确定最终中标候选人。</w:t>
            </w:r>
          </w:p>
        </w:tc>
      </w:tr>
    </w:tbl>
    <w:p>
      <w:pPr>
        <w:spacing w:line="360" w:lineRule="auto"/>
        <w:rPr>
          <w:rStyle w:val="36"/>
          <w:rFonts w:ascii="微软雅黑" w:hAnsi="微软雅黑" w:eastAsia="微软雅黑" w:cs="宋体"/>
          <w:b/>
          <w:bCs/>
          <w:kern w:val="0"/>
          <w:sz w:val="24"/>
        </w:rPr>
      </w:pPr>
      <w:bookmarkStart w:id="94" w:name="_Toc527105183"/>
      <w:bookmarkStart w:id="95" w:name="_Toc526784172"/>
    </w:p>
    <w:p>
      <w:pPr>
        <w:snapToGrid w:val="0"/>
        <w:spacing w:line="420" w:lineRule="exact"/>
        <w:ind w:firstLine="480" w:firstLineChars="200"/>
        <w:rPr>
          <w:rStyle w:val="40"/>
          <w:rFonts w:ascii="微软雅黑" w:hAnsi="微软雅黑" w:eastAsia="微软雅黑" w:cs="仿宋"/>
          <w:bCs/>
          <w:color w:val="000000"/>
          <w:sz w:val="30"/>
          <w:szCs w:val="30"/>
        </w:rPr>
      </w:pPr>
      <w:r>
        <w:rPr>
          <w:rStyle w:val="36"/>
          <w:rFonts w:ascii="微软雅黑" w:hAnsi="微软雅黑" w:eastAsia="微软雅黑" w:cs="宋体"/>
          <w:b/>
          <w:bCs/>
          <w:kern w:val="0"/>
          <w:sz w:val="24"/>
        </w:rPr>
        <w:t>附表1资格审查标准</w:t>
      </w:r>
      <w:r>
        <w:rPr>
          <w:rStyle w:val="40"/>
          <w:rFonts w:ascii="微软雅黑" w:hAnsi="微软雅黑" w:eastAsia="微软雅黑" w:cs="仿宋"/>
          <w:bCs/>
          <w:sz w:val="32"/>
          <w:szCs w:val="32"/>
        </w:rPr>
        <w:t xml:space="preserve">               </w:t>
      </w:r>
    </w:p>
    <w:p>
      <w:pPr>
        <w:snapToGrid w:val="0"/>
        <w:ind w:left="2029" w:leftChars="966" w:firstLine="948" w:firstLineChars="395"/>
        <w:rPr>
          <w:rStyle w:val="36"/>
          <w:rFonts w:hAnsi="宋体"/>
          <w:kern w:val="0"/>
          <w:sz w:val="24"/>
        </w:rPr>
      </w:pPr>
    </w:p>
    <w:p>
      <w:pPr>
        <w:snapToGrid w:val="0"/>
        <w:ind w:left="2029" w:leftChars="966" w:firstLine="2143" w:firstLineChars="893"/>
        <w:jc w:val="left"/>
        <w:rPr>
          <w:rStyle w:val="36"/>
          <w:rFonts w:ascii="微软雅黑" w:hAnsi="微软雅黑" w:eastAsia="微软雅黑"/>
          <w:kern w:val="0"/>
          <w:sz w:val="24"/>
        </w:rPr>
      </w:pPr>
      <w:r>
        <w:rPr>
          <w:rStyle w:val="36"/>
          <w:rFonts w:ascii="微软雅黑" w:hAnsi="微软雅黑" w:eastAsia="微软雅黑"/>
          <w:kern w:val="0"/>
          <w:sz w:val="24"/>
        </w:rPr>
        <w:t>资格审查标准</w:t>
      </w:r>
    </w:p>
    <w:tbl>
      <w:tblPr>
        <w:tblStyle w:val="14"/>
        <w:tblW w:w="9390" w:type="dxa"/>
        <w:tblInd w:w="-2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44"/>
        <w:gridCol w:w="2814"/>
        <w:gridCol w:w="4260"/>
        <w:gridCol w:w="16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序号</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项目内容</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评审标准</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通过（√）</w:t>
            </w:r>
          </w:p>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不通过（×）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3"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1</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法人授权委托书及被委托人身份证明</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有且本人与身份证和授权书相符合的视为通过；否则视为不通过。</w:t>
            </w:r>
          </w:p>
        </w:tc>
        <w:tc>
          <w:tcPr>
            <w:tcW w:w="1672" w:type="dxa"/>
            <w:tcBorders>
              <w:top w:val="single" w:color="000000" w:sz="4" w:space="0"/>
              <w:left w:val="single" w:color="000000" w:sz="4" w:space="0"/>
              <w:bottom w:val="single" w:color="000000" w:sz="4" w:space="0"/>
              <w:right w:val="single" w:color="000000" w:sz="4" w:space="0"/>
            </w:tcBorders>
          </w:tcPr>
          <w:p>
            <w:pPr>
              <w:snapToGrid w:val="0"/>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5"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2</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营业执照</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有效</w:t>
            </w:r>
          </w:p>
        </w:tc>
        <w:tc>
          <w:tcPr>
            <w:tcW w:w="1672" w:type="dxa"/>
            <w:tcBorders>
              <w:top w:val="single" w:color="000000" w:sz="4" w:space="0"/>
              <w:left w:val="single" w:color="000000" w:sz="4" w:space="0"/>
              <w:bottom w:val="single" w:color="000000" w:sz="4" w:space="0"/>
              <w:right w:val="single" w:color="000000" w:sz="4" w:space="0"/>
            </w:tcBorders>
          </w:tcPr>
          <w:p>
            <w:pPr>
              <w:snapToGrid w:val="0"/>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5"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3</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信用中国网上查询页（未被列入行政处罚、重点关注名单、黑名单，查询日期为招标公告发布之日起以后）</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信用中国网上查询页（未被列入行政处罚、重点关注名单、黑名单，查询日期为招标公告发布之日起以后）网上截图加盖公章</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4</w:t>
            </w:r>
          </w:p>
        </w:tc>
        <w:tc>
          <w:tcPr>
            <w:tcW w:w="281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投标保证金缴纳凭证</w:t>
            </w:r>
          </w:p>
        </w:tc>
        <w:tc>
          <w:tcPr>
            <w:tcW w:w="4260"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已缴纳投标保证金（以银行转账凭证为准)</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kern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719" w:hRule="atLeast"/>
        </w:trPr>
        <w:tc>
          <w:tcPr>
            <w:tcW w:w="64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hint="eastAsia" w:ascii="微软雅黑" w:hAnsi="微软雅黑" w:eastAsia="微软雅黑"/>
                <w:szCs w:val="21"/>
              </w:rPr>
              <w:t>5</w:t>
            </w:r>
          </w:p>
        </w:tc>
        <w:tc>
          <w:tcPr>
            <w:tcW w:w="7074" w:type="dxa"/>
            <w:gridSpan w:val="2"/>
            <w:tcBorders>
              <w:top w:val="single" w:color="000000" w:sz="4" w:space="0"/>
              <w:left w:val="single" w:color="000000" w:sz="4" w:space="0"/>
              <w:bottom w:val="single" w:color="000000" w:sz="4" w:space="0"/>
              <w:right w:val="single" w:color="000000" w:sz="4" w:space="0"/>
            </w:tcBorders>
            <w:vAlign w:val="center"/>
          </w:tcPr>
          <w:p>
            <w:pPr>
              <w:snapToGrid w:val="0"/>
              <w:jc w:val="center"/>
              <w:rPr>
                <w:rFonts w:ascii="微软雅黑" w:hAnsi="微软雅黑" w:eastAsia="微软雅黑"/>
                <w:szCs w:val="21"/>
              </w:rPr>
            </w:pPr>
            <w:r>
              <w:rPr>
                <w:rFonts w:ascii="微软雅黑" w:hAnsi="微软雅黑" w:eastAsia="微软雅黑"/>
                <w:szCs w:val="21"/>
              </w:rPr>
              <w:t>结   论</w:t>
            </w:r>
          </w:p>
        </w:tc>
        <w:tc>
          <w:tcPr>
            <w:tcW w:w="167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Style w:val="36"/>
                <w:rFonts w:ascii="微软雅黑" w:hAnsi="微软雅黑" w:eastAsia="微软雅黑"/>
                <w:kern w:val="0"/>
                <w:sz w:val="24"/>
              </w:rPr>
            </w:pPr>
          </w:p>
        </w:tc>
      </w:tr>
    </w:tbl>
    <w:p>
      <w:pPr>
        <w:snapToGrid w:val="0"/>
        <w:spacing w:line="360" w:lineRule="auto"/>
        <w:rPr>
          <w:rStyle w:val="36"/>
          <w:rFonts w:ascii="微软雅黑" w:hAnsi="微软雅黑" w:eastAsia="微软雅黑"/>
          <w:kern w:val="0"/>
          <w:sz w:val="24"/>
        </w:rPr>
      </w:pPr>
    </w:p>
    <w:p>
      <w:pPr>
        <w:snapToGrid w:val="0"/>
        <w:spacing w:line="360" w:lineRule="auto"/>
        <w:rPr>
          <w:rFonts w:ascii="微软雅黑" w:hAnsi="微软雅黑" w:eastAsia="微软雅黑"/>
          <w:szCs w:val="21"/>
        </w:rPr>
      </w:pPr>
      <w:r>
        <w:rPr>
          <w:rFonts w:ascii="微软雅黑" w:hAnsi="微软雅黑" w:eastAsia="微软雅黑"/>
          <w:szCs w:val="21"/>
        </w:rPr>
        <w:t>注：供应商使用三证合一的营业执照应确保二维码清晰可辨，由于不清晰造成的后果由供应商自行承担。</w:t>
      </w:r>
    </w:p>
    <w:p>
      <w:pPr>
        <w:widowControl/>
        <w:jc w:val="left"/>
        <w:rPr>
          <w:rFonts w:ascii="Calibri" w:hAnsi="Calibri" w:cs="宋体"/>
          <w:b/>
          <w:smallCaps/>
          <w:kern w:val="0"/>
          <w:sz w:val="20"/>
          <w:szCs w:val="20"/>
        </w:rPr>
      </w:pPr>
    </w:p>
    <w:p>
      <w:pPr>
        <w:snapToGrid w:val="0"/>
        <w:spacing w:line="420" w:lineRule="exact"/>
        <w:ind w:firstLine="480" w:firstLineChars="200"/>
        <w:rPr>
          <w:rStyle w:val="36"/>
          <w:rFonts w:ascii="微软雅黑" w:hAnsi="微软雅黑" w:eastAsia="微软雅黑" w:cs="宋体"/>
          <w:b/>
          <w:bCs/>
          <w:kern w:val="0"/>
          <w:sz w:val="24"/>
        </w:rPr>
      </w:pPr>
      <w:r>
        <w:rPr>
          <w:rStyle w:val="36"/>
          <w:rFonts w:ascii="微软雅黑" w:hAnsi="微软雅黑" w:eastAsia="微软雅黑" w:cs="宋体"/>
          <w:b/>
          <w:bCs/>
          <w:kern w:val="0"/>
          <w:sz w:val="24"/>
        </w:rPr>
        <w:t xml:space="preserve">附表2初步审查标准 </w:t>
      </w:r>
    </w:p>
    <w:p>
      <w:pPr>
        <w:snapToGrid w:val="0"/>
        <w:spacing w:line="360" w:lineRule="auto"/>
        <w:jc w:val="center"/>
        <w:rPr>
          <w:rStyle w:val="36"/>
          <w:rFonts w:ascii="微软雅黑" w:hAnsi="微软雅黑" w:eastAsia="微软雅黑"/>
          <w:kern w:val="0"/>
          <w:sz w:val="24"/>
        </w:rPr>
      </w:pPr>
      <w:r>
        <w:rPr>
          <w:rStyle w:val="36"/>
          <w:rFonts w:ascii="微软雅黑" w:hAnsi="微软雅黑" w:eastAsia="微软雅黑"/>
          <w:kern w:val="0"/>
          <w:sz w:val="24"/>
        </w:rPr>
        <w:t>投标文件初步评审表</w:t>
      </w:r>
    </w:p>
    <w:tbl>
      <w:tblPr>
        <w:tblStyle w:val="14"/>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523"/>
        <w:gridCol w:w="1718"/>
        <w:gridCol w:w="4756"/>
        <w:gridCol w:w="20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1"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6"/>
                <w:rFonts w:ascii="微软雅黑" w:hAnsi="微软雅黑" w:eastAsia="微软雅黑"/>
                <w:b/>
                <w:bCs/>
                <w:kern w:val="0"/>
                <w:sz w:val="24"/>
              </w:rPr>
            </w:pPr>
            <w:r>
              <w:rPr>
                <w:rStyle w:val="36"/>
                <w:rFonts w:ascii="微软雅黑" w:hAnsi="微软雅黑" w:eastAsia="微软雅黑"/>
                <w:b/>
                <w:bCs/>
                <w:kern w:val="0"/>
                <w:sz w:val="24"/>
              </w:rPr>
              <w:t>序号</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6"/>
                <w:rFonts w:ascii="微软雅黑" w:hAnsi="微软雅黑" w:eastAsia="微软雅黑"/>
                <w:b/>
                <w:bCs/>
                <w:kern w:val="0"/>
                <w:sz w:val="24"/>
              </w:rPr>
            </w:pPr>
            <w:r>
              <w:rPr>
                <w:rStyle w:val="36"/>
                <w:rFonts w:ascii="微软雅黑" w:hAnsi="微软雅黑" w:eastAsia="微软雅黑"/>
                <w:b/>
                <w:bCs/>
                <w:kern w:val="0"/>
                <w:sz w:val="24"/>
              </w:rPr>
              <w:t>评审因素</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Style w:val="36"/>
                <w:rFonts w:ascii="微软雅黑" w:hAnsi="微软雅黑" w:eastAsia="微软雅黑"/>
                <w:b/>
                <w:bCs/>
                <w:kern w:val="0"/>
                <w:sz w:val="24"/>
              </w:rPr>
            </w:pPr>
            <w:r>
              <w:rPr>
                <w:rStyle w:val="36"/>
                <w:rFonts w:ascii="微软雅黑" w:hAnsi="微软雅黑" w:eastAsia="微软雅黑"/>
                <w:b/>
                <w:bCs/>
                <w:kern w:val="0"/>
                <w:sz w:val="24"/>
              </w:rPr>
              <w:t>评审标准</w:t>
            </w:r>
          </w:p>
        </w:tc>
        <w:tc>
          <w:tcPr>
            <w:tcW w:w="1147" w:type="pct"/>
            <w:tcBorders>
              <w:top w:val="single" w:color="000000" w:sz="4" w:space="0"/>
              <w:left w:val="single" w:color="000000" w:sz="4" w:space="0"/>
              <w:bottom w:val="single" w:color="000000" w:sz="4" w:space="0"/>
              <w:right w:val="single" w:color="000000" w:sz="4" w:space="0"/>
            </w:tcBorders>
          </w:tcPr>
          <w:p>
            <w:pPr>
              <w:snapToGrid w:val="0"/>
              <w:jc w:val="center"/>
              <w:rPr>
                <w:rStyle w:val="36"/>
                <w:rFonts w:ascii="微软雅黑" w:hAnsi="微软雅黑" w:eastAsia="微软雅黑"/>
                <w:b/>
                <w:bCs/>
                <w:kern w:val="0"/>
                <w:sz w:val="24"/>
              </w:rPr>
            </w:pPr>
            <w:r>
              <w:rPr>
                <w:rStyle w:val="36"/>
                <w:rFonts w:ascii="微软雅黑" w:hAnsi="微软雅黑" w:eastAsia="微软雅黑"/>
                <w:b/>
                <w:bCs/>
                <w:kern w:val="0"/>
                <w:sz w:val="24"/>
              </w:rPr>
              <w:t>通过（√）</w:t>
            </w:r>
          </w:p>
          <w:p>
            <w:pPr>
              <w:snapToGrid w:val="0"/>
              <w:spacing w:line="360" w:lineRule="auto"/>
              <w:jc w:val="center"/>
              <w:rPr>
                <w:rStyle w:val="36"/>
                <w:rFonts w:ascii="微软雅黑" w:hAnsi="微软雅黑" w:eastAsia="微软雅黑"/>
                <w:b/>
                <w:bCs/>
                <w:kern w:val="0"/>
                <w:sz w:val="24"/>
              </w:rPr>
            </w:pPr>
            <w:r>
              <w:rPr>
                <w:rStyle w:val="36"/>
                <w:rFonts w:ascii="微软雅黑" w:hAnsi="微软雅黑" w:eastAsia="微软雅黑"/>
                <w:b/>
                <w:bCs/>
                <w:kern w:val="0"/>
                <w:sz w:val="24"/>
              </w:rPr>
              <w:t>不通过（×）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1</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投标报价</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低于招标控制价通过；否则不通过。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2</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采购需求</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满足采购需求通过，否则不通过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3</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签字盖章</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投标文件有关内容未按规定要求加盖投标人印章或未经法定代表人或其委托代理人签字或盖章的。</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4</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技术要求</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重要参数出现任一不满足情形不予通过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5</w:t>
            </w:r>
          </w:p>
        </w:tc>
        <w:tc>
          <w:tcPr>
            <w:tcW w:w="946"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其他实质性要求</w:t>
            </w:r>
          </w:p>
        </w:tc>
        <w:tc>
          <w:tcPr>
            <w:tcW w:w="2619"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满足实质性要求通过，否则不通过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jc w:val="center"/>
              <w:rPr>
                <w:rFonts w:ascii="微软雅黑" w:hAnsi="微软雅黑" w:eastAsia="微软雅黑"/>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288" w:type="pct"/>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微软雅黑" w:hAnsi="微软雅黑" w:eastAsia="微软雅黑"/>
                <w:szCs w:val="21"/>
              </w:rPr>
            </w:pPr>
            <w:r>
              <w:rPr>
                <w:rFonts w:ascii="微软雅黑" w:hAnsi="微软雅黑" w:eastAsia="微软雅黑"/>
                <w:szCs w:val="21"/>
              </w:rPr>
              <w:t>6</w:t>
            </w:r>
          </w:p>
        </w:tc>
        <w:tc>
          <w:tcPr>
            <w:tcW w:w="3565" w:type="pct"/>
            <w:gridSpan w:val="2"/>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微软雅黑" w:hAnsi="微软雅黑" w:eastAsia="微软雅黑"/>
                <w:szCs w:val="21"/>
              </w:rPr>
            </w:pPr>
            <w:r>
              <w:rPr>
                <w:rFonts w:ascii="微软雅黑" w:hAnsi="微软雅黑" w:eastAsia="微软雅黑"/>
                <w:szCs w:val="21"/>
              </w:rPr>
              <w:t>结论（是否通过）</w:t>
            </w:r>
          </w:p>
        </w:tc>
        <w:tc>
          <w:tcPr>
            <w:tcW w:w="1147" w:type="pct"/>
            <w:tcBorders>
              <w:top w:val="single" w:color="000000" w:sz="4" w:space="0"/>
              <w:left w:val="single" w:color="000000" w:sz="4" w:space="0"/>
              <w:bottom w:val="single" w:color="000000" w:sz="4" w:space="0"/>
              <w:right w:val="single" w:color="000000" w:sz="4" w:space="0"/>
            </w:tcBorders>
          </w:tcPr>
          <w:p>
            <w:pPr>
              <w:snapToGrid w:val="0"/>
              <w:spacing w:line="360" w:lineRule="auto"/>
              <w:rPr>
                <w:rFonts w:ascii="微软雅黑" w:hAnsi="微软雅黑" w:eastAsia="微软雅黑"/>
                <w:szCs w:val="21"/>
              </w:rPr>
            </w:pPr>
          </w:p>
        </w:tc>
      </w:tr>
    </w:tbl>
    <w:p>
      <w:pPr>
        <w:pStyle w:val="3"/>
        <w:rPr>
          <w:rFonts w:ascii="微软雅黑" w:hAnsi="微软雅黑" w:eastAsia="微软雅黑"/>
          <w:sz w:val="32"/>
          <w:szCs w:val="32"/>
        </w:rPr>
      </w:pPr>
      <w:bookmarkStart w:id="96" w:name="_Toc11700"/>
      <w:r>
        <w:rPr>
          <w:rFonts w:ascii="微软雅黑" w:hAnsi="微软雅黑" w:eastAsia="微软雅黑"/>
          <w:sz w:val="32"/>
          <w:szCs w:val="32"/>
        </w:rPr>
        <w:t>5</w:t>
      </w:r>
      <w:r>
        <w:rPr>
          <w:rFonts w:hint="eastAsia" w:ascii="微软雅黑" w:hAnsi="微软雅黑" w:eastAsia="微软雅黑"/>
          <w:sz w:val="32"/>
          <w:szCs w:val="32"/>
        </w:rPr>
        <w:t>.响应要求及文件格式</w:t>
      </w:r>
      <w:bookmarkEnd w:id="94"/>
      <w:bookmarkEnd w:id="95"/>
      <w:bookmarkEnd w:id="96"/>
    </w:p>
    <w:p>
      <w:pPr>
        <w:pStyle w:val="4"/>
        <w:rPr>
          <w:rFonts w:ascii="微软雅黑" w:hAnsi="微软雅黑" w:eastAsia="微软雅黑"/>
          <w:sz w:val="28"/>
          <w:szCs w:val="28"/>
        </w:rPr>
      </w:pPr>
      <w:bookmarkStart w:id="97" w:name="_Toc526784173"/>
      <w:bookmarkStart w:id="98" w:name="_Toc13976"/>
      <w:bookmarkStart w:id="99" w:name="_Toc527105184"/>
      <w:r>
        <w:rPr>
          <w:rFonts w:hint="eastAsia" w:ascii="微软雅黑" w:hAnsi="微软雅黑" w:eastAsia="微软雅黑"/>
          <w:sz w:val="28"/>
          <w:szCs w:val="28"/>
        </w:rPr>
        <w:t>5.1响应要求</w:t>
      </w:r>
      <w:bookmarkEnd w:id="97"/>
      <w:bookmarkEnd w:id="98"/>
      <w:bookmarkEnd w:id="99"/>
    </w:p>
    <w:p>
      <w:pPr>
        <w:pStyle w:val="2"/>
        <w:rPr>
          <w:rFonts w:ascii="微软雅黑" w:hAnsi="微软雅黑" w:eastAsia="微软雅黑"/>
          <w:sz w:val="24"/>
          <w:szCs w:val="24"/>
        </w:rPr>
      </w:pPr>
      <w:bookmarkStart w:id="100" w:name="_Toc6329"/>
      <w:bookmarkStart w:id="101" w:name="_Toc527105185"/>
      <w:bookmarkStart w:id="102" w:name="_Toc526784174"/>
      <w:r>
        <w:rPr>
          <w:rFonts w:hint="eastAsia" w:ascii="微软雅黑" w:hAnsi="微软雅黑" w:eastAsia="微软雅黑"/>
          <w:sz w:val="24"/>
          <w:szCs w:val="24"/>
        </w:rPr>
        <w:t>5.1.1实施工期</w:t>
      </w:r>
      <w:bookmarkEnd w:id="100"/>
      <w:bookmarkEnd w:id="101"/>
      <w:bookmarkEnd w:id="102"/>
    </w:p>
    <w:p>
      <w:pPr>
        <w:widowControl/>
        <w:spacing w:line="360" w:lineRule="auto"/>
        <w:ind w:firstLine="420"/>
        <w:rPr>
          <w:rFonts w:ascii="微软雅黑" w:hAnsi="微软雅黑" w:eastAsia="微软雅黑"/>
          <w:szCs w:val="21"/>
        </w:rPr>
      </w:pPr>
      <w:r>
        <w:rPr>
          <w:rFonts w:hint="eastAsia" w:ascii="微软雅黑" w:hAnsi="微软雅黑" w:eastAsia="微软雅黑"/>
          <w:szCs w:val="21"/>
        </w:rPr>
        <w:t>根据生产需求进度，</w:t>
      </w:r>
      <w:r>
        <w:rPr>
          <w:rFonts w:hint="eastAsia" w:ascii="微软雅黑" w:hAnsi="微软雅黑" w:eastAsia="微软雅黑"/>
          <w:szCs w:val="21"/>
          <w:highlight w:val="yellow"/>
        </w:rPr>
        <w:t>项目周期要求在</w:t>
      </w:r>
      <w:r>
        <w:rPr>
          <w:rFonts w:ascii="微软雅黑" w:hAnsi="微软雅黑" w:eastAsia="微软雅黑"/>
          <w:szCs w:val="21"/>
          <w:highlight w:val="yellow"/>
        </w:rPr>
        <w:t>3</w:t>
      </w:r>
      <w:r>
        <w:rPr>
          <w:rFonts w:hint="eastAsia" w:ascii="微软雅黑" w:hAnsi="微软雅黑" w:eastAsia="微软雅黑"/>
          <w:szCs w:val="21"/>
          <w:highlight w:val="yellow"/>
        </w:rPr>
        <w:t>个月时间，为20</w:t>
      </w:r>
      <w:r>
        <w:rPr>
          <w:rFonts w:ascii="微软雅黑" w:hAnsi="微软雅黑" w:eastAsia="微软雅黑"/>
          <w:szCs w:val="21"/>
          <w:highlight w:val="yellow"/>
        </w:rPr>
        <w:t>23</w:t>
      </w:r>
      <w:r>
        <w:rPr>
          <w:rFonts w:hint="eastAsia" w:ascii="微软雅黑" w:hAnsi="微软雅黑" w:eastAsia="微软雅黑"/>
          <w:szCs w:val="21"/>
          <w:highlight w:val="yellow"/>
        </w:rPr>
        <w:t>年</w:t>
      </w:r>
      <w:r>
        <w:rPr>
          <w:rFonts w:ascii="微软雅黑" w:hAnsi="微软雅黑" w:eastAsia="微软雅黑"/>
          <w:szCs w:val="21"/>
          <w:highlight w:val="yellow"/>
        </w:rPr>
        <w:t>3</w:t>
      </w:r>
      <w:r>
        <w:rPr>
          <w:rFonts w:hint="eastAsia" w:ascii="微软雅黑" w:hAnsi="微软雅黑" w:eastAsia="微软雅黑"/>
          <w:szCs w:val="21"/>
          <w:highlight w:val="yellow"/>
        </w:rPr>
        <w:t>月至20</w:t>
      </w:r>
      <w:r>
        <w:rPr>
          <w:rFonts w:ascii="微软雅黑" w:hAnsi="微软雅黑" w:eastAsia="微软雅黑"/>
          <w:szCs w:val="21"/>
          <w:highlight w:val="yellow"/>
        </w:rPr>
        <w:t>2</w:t>
      </w:r>
      <w:r>
        <w:rPr>
          <w:rFonts w:hint="eastAsia" w:ascii="微软雅黑" w:hAnsi="微软雅黑" w:eastAsia="微软雅黑"/>
          <w:szCs w:val="21"/>
          <w:highlight w:val="yellow"/>
        </w:rPr>
        <w:t>3年</w:t>
      </w:r>
      <w:r>
        <w:rPr>
          <w:rFonts w:ascii="微软雅黑" w:hAnsi="微软雅黑" w:eastAsia="微软雅黑"/>
          <w:szCs w:val="21"/>
          <w:highlight w:val="yellow"/>
        </w:rPr>
        <w:t>5</w:t>
      </w:r>
      <w:r>
        <w:rPr>
          <w:rFonts w:hint="eastAsia" w:ascii="微软雅黑" w:hAnsi="微软雅黑" w:eastAsia="微软雅黑"/>
          <w:szCs w:val="21"/>
          <w:highlight w:val="yellow"/>
        </w:rPr>
        <w:t>月</w:t>
      </w:r>
      <w:r>
        <w:rPr>
          <w:rFonts w:hint="eastAsia" w:ascii="微软雅黑" w:hAnsi="微软雅黑" w:eastAsia="微软雅黑"/>
          <w:szCs w:val="21"/>
        </w:rPr>
        <w:t>，投标方应根据本技术规范书中描述的范围及内容要求提供一份完整的项目进度计划表，以确定各阶段的主要工作内容、成果及其进度。</w:t>
      </w:r>
      <w:bookmarkStart w:id="103" w:name="_Toc374695662"/>
      <w:bookmarkStart w:id="104" w:name="_Toc516486659"/>
      <w:bookmarkStart w:id="105" w:name="_Toc374704119"/>
    </w:p>
    <w:p>
      <w:pPr>
        <w:pStyle w:val="2"/>
        <w:rPr>
          <w:rFonts w:ascii="微软雅黑" w:hAnsi="微软雅黑" w:eastAsia="微软雅黑"/>
          <w:sz w:val="24"/>
          <w:szCs w:val="24"/>
        </w:rPr>
      </w:pPr>
      <w:bookmarkStart w:id="106" w:name="_Toc526784175"/>
      <w:bookmarkStart w:id="107" w:name="_Toc527105186"/>
      <w:bookmarkStart w:id="108" w:name="_Toc13277"/>
      <w:r>
        <w:rPr>
          <w:rFonts w:hint="eastAsia" w:ascii="微软雅黑" w:hAnsi="微软雅黑" w:eastAsia="微软雅黑"/>
          <w:sz w:val="24"/>
          <w:szCs w:val="24"/>
        </w:rPr>
        <w:t>5.1.2实施要求</w:t>
      </w:r>
      <w:bookmarkEnd w:id="103"/>
      <w:bookmarkEnd w:id="104"/>
      <w:bookmarkEnd w:id="105"/>
      <w:bookmarkEnd w:id="106"/>
      <w:bookmarkEnd w:id="107"/>
      <w:bookmarkEnd w:id="108"/>
    </w:p>
    <w:p>
      <w:pPr>
        <w:pStyle w:val="29"/>
        <w:spacing w:line="360" w:lineRule="auto"/>
        <w:ind w:firstLine="480"/>
        <w:jc w:val="both"/>
        <w:rPr>
          <w:rFonts w:hAnsi="微软雅黑" w:cs="Times New Roman"/>
          <w:sz w:val="21"/>
          <w:szCs w:val="21"/>
        </w:rPr>
      </w:pPr>
      <w:r>
        <w:rPr>
          <w:rFonts w:hint="eastAsia" w:hAnsi="微软雅黑" w:cs="Times New Roman"/>
          <w:sz w:val="21"/>
          <w:szCs w:val="21"/>
        </w:rPr>
        <w:t>投标人作为实施方，须在实施过程中满足如下要求：</w:t>
      </w:r>
    </w:p>
    <w:p>
      <w:pPr>
        <w:pStyle w:val="26"/>
        <w:numPr>
          <w:ilvl w:val="0"/>
          <w:numId w:val="16"/>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提供合理的行业解决方案，并结合北国的实际业务情况和业务特点，整理出适合该项目的具体实施方案；</w:t>
      </w:r>
    </w:p>
    <w:p>
      <w:pPr>
        <w:pStyle w:val="26"/>
        <w:numPr>
          <w:ilvl w:val="0"/>
          <w:numId w:val="16"/>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能够合理并高效地提供实施资源，并能够对实施过程中出现的问题进行有效的处理；</w:t>
      </w:r>
    </w:p>
    <w:p>
      <w:pPr>
        <w:pStyle w:val="26"/>
        <w:numPr>
          <w:ilvl w:val="0"/>
          <w:numId w:val="16"/>
        </w:numPr>
        <w:spacing w:before="120" w:after="156" w:line="360" w:lineRule="auto"/>
        <w:ind w:firstLineChars="0"/>
        <w:jc w:val="left"/>
        <w:rPr>
          <w:rFonts w:ascii="微软雅黑" w:hAnsi="微软雅黑" w:eastAsia="微软雅黑"/>
          <w:szCs w:val="21"/>
        </w:rPr>
      </w:pPr>
      <w:r>
        <w:rPr>
          <w:rFonts w:hint="eastAsia" w:ascii="微软雅黑" w:hAnsi="微软雅黑" w:eastAsia="微软雅黑"/>
          <w:szCs w:val="21"/>
        </w:rPr>
        <w:t>能够制定明确合理的实施计划，并按照计划进行实施，定期交付相关文档；</w:t>
      </w:r>
    </w:p>
    <w:p>
      <w:pPr>
        <w:pStyle w:val="4"/>
        <w:rPr>
          <w:rFonts w:ascii="微软雅黑" w:hAnsi="微软雅黑" w:eastAsia="微软雅黑"/>
        </w:rPr>
      </w:pPr>
      <w:bookmarkStart w:id="109" w:name="_Toc13831"/>
      <w:bookmarkStart w:id="110" w:name="_Toc527105190"/>
      <w:bookmarkStart w:id="111" w:name="_Toc526784179"/>
      <w:r>
        <w:rPr>
          <w:rFonts w:hint="eastAsia" w:ascii="微软雅黑" w:hAnsi="微软雅黑" w:eastAsia="微软雅黑"/>
        </w:rPr>
        <w:t>5.2</w:t>
      </w:r>
      <w:r>
        <w:rPr>
          <w:rFonts w:hint="eastAsia" w:ascii="微软雅黑" w:hAnsi="微软雅黑" w:eastAsia="微软雅黑"/>
          <w:kern w:val="0"/>
        </w:rPr>
        <w:t>响应文件格式</w:t>
      </w:r>
      <w:bookmarkEnd w:id="109"/>
      <w:bookmarkEnd w:id="110"/>
      <w:bookmarkEnd w:id="111"/>
      <w:r>
        <w:rPr>
          <w:rFonts w:hint="eastAsia" w:ascii="微软雅黑" w:hAnsi="微软雅黑" w:eastAsia="微软雅黑"/>
          <w:kern w:val="0"/>
        </w:rPr>
        <w:t xml:space="preserve"> </w:t>
      </w:r>
    </w:p>
    <w:p>
      <w:pPr>
        <w:pStyle w:val="2"/>
        <w:rPr>
          <w:rFonts w:ascii="微软雅黑" w:hAnsi="微软雅黑" w:eastAsia="微软雅黑"/>
          <w:sz w:val="28"/>
          <w:szCs w:val="28"/>
        </w:rPr>
      </w:pPr>
      <w:bookmarkStart w:id="112" w:name="_Toc526784180"/>
      <w:bookmarkStart w:id="113" w:name="_Toc11316"/>
      <w:bookmarkStart w:id="114" w:name="_Toc527105191"/>
      <w:r>
        <w:rPr>
          <w:rFonts w:hint="eastAsia" w:ascii="微软雅黑" w:hAnsi="微软雅黑" w:eastAsia="微软雅黑"/>
          <w:sz w:val="28"/>
          <w:szCs w:val="28"/>
        </w:rPr>
        <w:t>5.2.1报价要求说明</w:t>
      </w:r>
      <w:bookmarkEnd w:id="112"/>
      <w:bookmarkEnd w:id="113"/>
      <w:bookmarkEnd w:id="114"/>
    </w:p>
    <w:p>
      <w:pPr>
        <w:spacing w:line="360" w:lineRule="auto"/>
        <w:rPr>
          <w:rFonts w:ascii="微软雅黑" w:hAnsi="微软雅黑" w:eastAsia="微软雅黑"/>
          <w:szCs w:val="21"/>
        </w:rPr>
      </w:pPr>
      <w:r>
        <w:rPr>
          <w:rFonts w:hint="eastAsia" w:ascii="微软雅黑" w:hAnsi="微软雅黑" w:eastAsia="微软雅黑"/>
          <w:szCs w:val="21"/>
        </w:rPr>
        <w:t>报价框架包括以下部分：</w:t>
      </w:r>
    </w:p>
    <w:p>
      <w:pPr>
        <w:spacing w:line="360" w:lineRule="auto"/>
        <w:ind w:left="840"/>
        <w:rPr>
          <w:rFonts w:ascii="微软雅黑" w:hAnsi="微软雅黑" w:eastAsia="微软雅黑"/>
          <w:szCs w:val="21"/>
          <w:highlight w:val="yellow"/>
        </w:rPr>
      </w:pPr>
      <w:r>
        <w:rPr>
          <w:rFonts w:hint="eastAsia" w:ascii="微软雅黑" w:hAnsi="微软雅黑" w:eastAsia="微软雅黑"/>
          <w:szCs w:val="21"/>
          <w:highlight w:val="yellow"/>
        </w:rPr>
        <w:t>北国先天下容灾调整项目（制式表格）</w:t>
      </w:r>
    </w:p>
    <w:tbl>
      <w:tblPr>
        <w:tblStyle w:val="14"/>
        <w:tblW w:w="100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54"/>
        <w:gridCol w:w="1788"/>
        <w:gridCol w:w="1985"/>
        <w:gridCol w:w="1650"/>
        <w:gridCol w:w="51"/>
        <w:gridCol w:w="1734"/>
        <w:gridCol w:w="354"/>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033" w:type="dxa"/>
            <w:gridSpan w:val="9"/>
            <w:shd w:val="clear" w:color="auto" w:fill="A6A6A6"/>
          </w:tcPr>
          <w:p>
            <w:pPr>
              <w:spacing w:line="0" w:lineRule="atLeast"/>
              <w:rPr>
                <w:rFonts w:ascii="微软雅黑" w:hAnsi="微软雅黑" w:eastAsia="微软雅黑"/>
                <w:b/>
                <w:szCs w:val="21"/>
              </w:rPr>
            </w:pPr>
            <w:r>
              <w:rPr>
                <w:rFonts w:hint="eastAsia" w:ascii="微软雅黑" w:hAnsi="微软雅黑" w:eastAsia="微软雅黑"/>
                <w:b/>
                <w:szCs w:val="21"/>
              </w:rPr>
              <w:t>项目实施报价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312" w:type="dxa"/>
            <w:gridSpan w:val="3"/>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产品实施名称</w:t>
            </w:r>
          </w:p>
        </w:tc>
        <w:tc>
          <w:tcPr>
            <w:tcW w:w="1985"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单价</w:t>
            </w:r>
          </w:p>
        </w:tc>
        <w:tc>
          <w:tcPr>
            <w:tcW w:w="1650"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优惠折扣</w:t>
            </w:r>
          </w:p>
        </w:tc>
        <w:tc>
          <w:tcPr>
            <w:tcW w:w="1785"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总价</w:t>
            </w:r>
          </w:p>
        </w:tc>
        <w:tc>
          <w:tcPr>
            <w:tcW w:w="1301"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312" w:type="dxa"/>
            <w:gridSpan w:val="3"/>
            <w:vAlign w:val="center"/>
          </w:tcPr>
          <w:p>
            <w:pPr>
              <w:spacing w:line="0" w:lineRule="atLeast"/>
              <w:rPr>
                <w:rFonts w:ascii="微软雅黑" w:hAnsi="微软雅黑" w:eastAsia="微软雅黑"/>
                <w:szCs w:val="21"/>
              </w:rPr>
            </w:pPr>
          </w:p>
        </w:tc>
        <w:tc>
          <w:tcPr>
            <w:tcW w:w="1985" w:type="dxa"/>
            <w:vAlign w:val="center"/>
          </w:tcPr>
          <w:p>
            <w:pPr>
              <w:spacing w:line="0" w:lineRule="atLeast"/>
              <w:rPr>
                <w:rFonts w:ascii="微软雅黑" w:hAnsi="微软雅黑" w:eastAsia="微软雅黑"/>
                <w:szCs w:val="21"/>
              </w:rPr>
            </w:pPr>
          </w:p>
        </w:tc>
        <w:tc>
          <w:tcPr>
            <w:tcW w:w="1650" w:type="dxa"/>
            <w:vAlign w:val="center"/>
          </w:tcPr>
          <w:p>
            <w:pPr>
              <w:spacing w:line="0" w:lineRule="atLeast"/>
              <w:rPr>
                <w:rFonts w:ascii="微软雅黑" w:hAnsi="微软雅黑" w:eastAsia="微软雅黑"/>
                <w:szCs w:val="21"/>
              </w:rPr>
            </w:pPr>
          </w:p>
        </w:tc>
        <w:tc>
          <w:tcPr>
            <w:tcW w:w="1785" w:type="dxa"/>
            <w:gridSpan w:val="2"/>
            <w:vAlign w:val="center"/>
          </w:tcPr>
          <w:p>
            <w:pPr>
              <w:spacing w:line="0" w:lineRule="atLeast"/>
              <w:rPr>
                <w:rFonts w:ascii="微软雅黑" w:hAnsi="微软雅黑" w:eastAsia="微软雅黑"/>
                <w:szCs w:val="21"/>
              </w:rPr>
            </w:pPr>
          </w:p>
        </w:tc>
        <w:tc>
          <w:tcPr>
            <w:tcW w:w="1301" w:type="dxa"/>
            <w:gridSpan w:val="2"/>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312" w:type="dxa"/>
            <w:gridSpan w:val="3"/>
            <w:vAlign w:val="center"/>
          </w:tcPr>
          <w:p>
            <w:pPr>
              <w:spacing w:line="0" w:lineRule="atLeast"/>
              <w:rPr>
                <w:rFonts w:ascii="微软雅黑" w:hAnsi="微软雅黑" w:eastAsia="微软雅黑"/>
                <w:szCs w:val="21"/>
              </w:rPr>
            </w:pPr>
          </w:p>
        </w:tc>
        <w:tc>
          <w:tcPr>
            <w:tcW w:w="1985" w:type="dxa"/>
            <w:vAlign w:val="center"/>
          </w:tcPr>
          <w:p>
            <w:pPr>
              <w:spacing w:line="0" w:lineRule="atLeast"/>
              <w:rPr>
                <w:rFonts w:ascii="微软雅黑" w:hAnsi="微软雅黑" w:eastAsia="微软雅黑"/>
                <w:szCs w:val="21"/>
              </w:rPr>
            </w:pPr>
          </w:p>
        </w:tc>
        <w:tc>
          <w:tcPr>
            <w:tcW w:w="1650" w:type="dxa"/>
            <w:vAlign w:val="center"/>
          </w:tcPr>
          <w:p>
            <w:pPr>
              <w:spacing w:line="0" w:lineRule="atLeast"/>
              <w:rPr>
                <w:rFonts w:ascii="微软雅黑" w:hAnsi="微软雅黑" w:eastAsia="微软雅黑"/>
                <w:szCs w:val="21"/>
              </w:rPr>
            </w:pPr>
          </w:p>
        </w:tc>
        <w:tc>
          <w:tcPr>
            <w:tcW w:w="1785" w:type="dxa"/>
            <w:gridSpan w:val="2"/>
            <w:vAlign w:val="center"/>
          </w:tcPr>
          <w:p>
            <w:pPr>
              <w:spacing w:line="0" w:lineRule="atLeast"/>
              <w:rPr>
                <w:rFonts w:ascii="微软雅黑" w:hAnsi="微软雅黑" w:eastAsia="微软雅黑"/>
                <w:szCs w:val="21"/>
              </w:rPr>
            </w:pPr>
          </w:p>
        </w:tc>
        <w:tc>
          <w:tcPr>
            <w:tcW w:w="1301" w:type="dxa"/>
            <w:gridSpan w:val="2"/>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312" w:type="dxa"/>
            <w:gridSpan w:val="3"/>
            <w:vAlign w:val="center"/>
          </w:tcPr>
          <w:p>
            <w:pPr>
              <w:spacing w:line="0" w:lineRule="atLeast"/>
              <w:rPr>
                <w:rFonts w:ascii="微软雅黑" w:hAnsi="微软雅黑" w:eastAsia="微软雅黑"/>
                <w:szCs w:val="21"/>
              </w:rPr>
            </w:pPr>
          </w:p>
        </w:tc>
        <w:tc>
          <w:tcPr>
            <w:tcW w:w="1985" w:type="dxa"/>
            <w:vAlign w:val="center"/>
          </w:tcPr>
          <w:p>
            <w:pPr>
              <w:spacing w:line="0" w:lineRule="atLeast"/>
              <w:rPr>
                <w:rFonts w:ascii="微软雅黑" w:hAnsi="微软雅黑" w:eastAsia="微软雅黑"/>
                <w:szCs w:val="21"/>
              </w:rPr>
            </w:pPr>
          </w:p>
        </w:tc>
        <w:tc>
          <w:tcPr>
            <w:tcW w:w="1650" w:type="dxa"/>
            <w:vAlign w:val="center"/>
          </w:tcPr>
          <w:p>
            <w:pPr>
              <w:spacing w:line="0" w:lineRule="atLeast"/>
              <w:rPr>
                <w:rFonts w:ascii="微软雅黑" w:hAnsi="微软雅黑" w:eastAsia="微软雅黑"/>
                <w:szCs w:val="21"/>
              </w:rPr>
            </w:pPr>
          </w:p>
        </w:tc>
        <w:tc>
          <w:tcPr>
            <w:tcW w:w="1785" w:type="dxa"/>
            <w:gridSpan w:val="2"/>
            <w:vAlign w:val="center"/>
          </w:tcPr>
          <w:p>
            <w:pPr>
              <w:spacing w:line="0" w:lineRule="atLeast"/>
              <w:rPr>
                <w:rFonts w:ascii="微软雅黑" w:hAnsi="微软雅黑" w:eastAsia="微软雅黑"/>
                <w:szCs w:val="21"/>
              </w:rPr>
            </w:pPr>
          </w:p>
        </w:tc>
        <w:tc>
          <w:tcPr>
            <w:tcW w:w="1301" w:type="dxa"/>
            <w:gridSpan w:val="2"/>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24" w:type="dxa"/>
            <w:gridSpan w:val="2"/>
            <w:vAlign w:val="center"/>
          </w:tcPr>
          <w:p>
            <w:pPr>
              <w:spacing w:line="0" w:lineRule="atLeast"/>
              <w:rPr>
                <w:rFonts w:ascii="微软雅黑" w:hAnsi="微软雅黑" w:eastAsia="微软雅黑"/>
                <w:szCs w:val="21"/>
                <w:highlight w:val="yellow"/>
              </w:rPr>
            </w:pPr>
          </w:p>
        </w:tc>
        <w:tc>
          <w:tcPr>
            <w:tcW w:w="1788" w:type="dxa"/>
          </w:tcPr>
          <w:p>
            <w:pPr>
              <w:spacing w:line="0" w:lineRule="atLeast"/>
              <w:rPr>
                <w:rFonts w:ascii="微软雅黑" w:hAnsi="微软雅黑" w:eastAsia="微软雅黑"/>
                <w:szCs w:val="21"/>
              </w:rPr>
            </w:pPr>
          </w:p>
        </w:tc>
        <w:tc>
          <w:tcPr>
            <w:tcW w:w="1985" w:type="dxa"/>
            <w:vAlign w:val="center"/>
          </w:tcPr>
          <w:p>
            <w:pPr>
              <w:spacing w:line="0" w:lineRule="atLeast"/>
              <w:rPr>
                <w:rFonts w:ascii="微软雅黑" w:hAnsi="微软雅黑" w:eastAsia="微软雅黑"/>
                <w:szCs w:val="21"/>
              </w:rPr>
            </w:pPr>
          </w:p>
        </w:tc>
        <w:tc>
          <w:tcPr>
            <w:tcW w:w="1650" w:type="dxa"/>
            <w:vAlign w:val="center"/>
          </w:tcPr>
          <w:p>
            <w:pPr>
              <w:spacing w:line="0" w:lineRule="atLeast"/>
              <w:rPr>
                <w:rFonts w:ascii="微软雅黑" w:hAnsi="微软雅黑" w:eastAsia="微软雅黑"/>
                <w:szCs w:val="21"/>
              </w:rPr>
            </w:pPr>
          </w:p>
        </w:tc>
        <w:tc>
          <w:tcPr>
            <w:tcW w:w="1785" w:type="dxa"/>
            <w:gridSpan w:val="2"/>
            <w:vAlign w:val="center"/>
          </w:tcPr>
          <w:p>
            <w:pPr>
              <w:spacing w:line="0" w:lineRule="atLeast"/>
              <w:rPr>
                <w:rFonts w:ascii="微软雅黑" w:hAnsi="微软雅黑" w:eastAsia="微软雅黑"/>
                <w:szCs w:val="21"/>
              </w:rPr>
            </w:pPr>
          </w:p>
        </w:tc>
        <w:tc>
          <w:tcPr>
            <w:tcW w:w="1301" w:type="dxa"/>
            <w:gridSpan w:val="2"/>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297" w:type="dxa"/>
            <w:gridSpan w:val="4"/>
            <w:shd w:val="clear" w:color="auto" w:fill="FFFFFF"/>
          </w:tcPr>
          <w:p>
            <w:pPr>
              <w:spacing w:line="0" w:lineRule="atLeast"/>
              <w:rPr>
                <w:rFonts w:ascii="微软雅黑" w:hAnsi="微软雅黑" w:eastAsia="微软雅黑"/>
                <w:szCs w:val="21"/>
              </w:rPr>
            </w:pPr>
            <w:r>
              <w:rPr>
                <w:rFonts w:hint="eastAsia" w:ascii="微软雅黑" w:hAnsi="微软雅黑" w:eastAsia="微软雅黑"/>
                <w:szCs w:val="21"/>
              </w:rPr>
              <w:t>合计</w:t>
            </w:r>
          </w:p>
        </w:tc>
        <w:tc>
          <w:tcPr>
            <w:tcW w:w="4736" w:type="dxa"/>
            <w:gridSpan w:val="5"/>
            <w:shd w:val="clear" w:color="auto" w:fill="FFFFFF"/>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033" w:type="dxa"/>
            <w:gridSpan w:val="9"/>
            <w:shd w:val="clear" w:color="auto" w:fill="A6A6A6"/>
          </w:tcPr>
          <w:p>
            <w:pPr>
              <w:spacing w:line="0" w:lineRule="atLeast"/>
              <w:rPr>
                <w:rFonts w:ascii="微软雅黑" w:hAnsi="微软雅黑" w:eastAsia="微软雅黑"/>
                <w:b/>
                <w:szCs w:val="21"/>
              </w:rPr>
            </w:pPr>
            <w:r>
              <w:rPr>
                <w:rFonts w:hint="eastAsia" w:ascii="微软雅黑" w:hAnsi="微软雅黑" w:eastAsia="微软雅黑"/>
                <w:b/>
                <w:szCs w:val="21"/>
              </w:rPr>
              <w:t>年服务维护费用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470"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维护周期</w:t>
            </w:r>
          </w:p>
        </w:tc>
        <w:tc>
          <w:tcPr>
            <w:tcW w:w="3827" w:type="dxa"/>
            <w:gridSpan w:val="3"/>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维护内容</w:t>
            </w:r>
          </w:p>
        </w:tc>
        <w:tc>
          <w:tcPr>
            <w:tcW w:w="1701"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费用</w:t>
            </w:r>
          </w:p>
        </w:tc>
        <w:tc>
          <w:tcPr>
            <w:tcW w:w="2088"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维护选择</w:t>
            </w:r>
          </w:p>
        </w:tc>
        <w:tc>
          <w:tcPr>
            <w:tcW w:w="947"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470" w:type="dxa"/>
            <w:shd w:val="clear" w:color="auto" w:fill="FFFFFF"/>
            <w:vAlign w:val="center"/>
          </w:tcPr>
          <w:p>
            <w:pPr>
              <w:spacing w:line="0" w:lineRule="atLeast"/>
              <w:rPr>
                <w:rFonts w:ascii="微软雅黑" w:hAnsi="微软雅黑" w:eastAsia="微软雅黑"/>
                <w:szCs w:val="21"/>
              </w:rPr>
            </w:pPr>
          </w:p>
        </w:tc>
        <w:tc>
          <w:tcPr>
            <w:tcW w:w="3827" w:type="dxa"/>
            <w:gridSpan w:val="3"/>
            <w:shd w:val="clear" w:color="auto" w:fill="FFFFFF"/>
            <w:vAlign w:val="center"/>
          </w:tcPr>
          <w:p>
            <w:pPr>
              <w:spacing w:line="0" w:lineRule="atLeast"/>
              <w:rPr>
                <w:rFonts w:ascii="微软雅黑" w:hAnsi="微软雅黑" w:eastAsia="微软雅黑"/>
                <w:szCs w:val="21"/>
              </w:rPr>
            </w:pPr>
          </w:p>
        </w:tc>
        <w:tc>
          <w:tcPr>
            <w:tcW w:w="1701" w:type="dxa"/>
            <w:gridSpan w:val="2"/>
            <w:shd w:val="clear" w:color="auto" w:fill="FFFFFF"/>
            <w:vAlign w:val="center"/>
          </w:tcPr>
          <w:p>
            <w:pPr>
              <w:spacing w:line="0" w:lineRule="atLeast"/>
              <w:rPr>
                <w:rFonts w:ascii="微软雅黑" w:hAnsi="微软雅黑" w:eastAsia="微软雅黑"/>
                <w:szCs w:val="21"/>
              </w:rPr>
            </w:pPr>
          </w:p>
        </w:tc>
        <w:tc>
          <w:tcPr>
            <w:tcW w:w="2088" w:type="dxa"/>
            <w:gridSpan w:val="2"/>
            <w:shd w:val="clear" w:color="auto" w:fill="FFFFFF"/>
            <w:vAlign w:val="center"/>
          </w:tcPr>
          <w:p>
            <w:pPr>
              <w:spacing w:line="0" w:lineRule="atLeast"/>
              <w:rPr>
                <w:rFonts w:ascii="微软雅黑" w:hAnsi="微软雅黑" w:eastAsia="微软雅黑"/>
                <w:szCs w:val="21"/>
              </w:rPr>
            </w:pPr>
          </w:p>
        </w:tc>
        <w:tc>
          <w:tcPr>
            <w:tcW w:w="947" w:type="dxa"/>
            <w:shd w:val="clear" w:color="auto" w:fill="FFFFFF"/>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297" w:type="dxa"/>
            <w:gridSpan w:val="4"/>
            <w:shd w:val="clear" w:color="auto" w:fill="FFFFFF"/>
          </w:tcPr>
          <w:p>
            <w:pPr>
              <w:spacing w:line="0" w:lineRule="atLeast"/>
              <w:rPr>
                <w:rFonts w:ascii="微软雅黑" w:hAnsi="微软雅黑" w:eastAsia="微软雅黑"/>
                <w:szCs w:val="21"/>
              </w:rPr>
            </w:pPr>
            <w:r>
              <w:rPr>
                <w:rFonts w:hint="eastAsia" w:ascii="微软雅黑" w:hAnsi="微软雅黑" w:eastAsia="微软雅黑"/>
                <w:szCs w:val="21"/>
              </w:rPr>
              <w:t>合计</w:t>
            </w:r>
          </w:p>
        </w:tc>
        <w:tc>
          <w:tcPr>
            <w:tcW w:w="4736" w:type="dxa"/>
            <w:gridSpan w:val="5"/>
            <w:shd w:val="clear" w:color="auto" w:fill="FFFFFF"/>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524" w:type="dxa"/>
            <w:gridSpan w:val="2"/>
            <w:vAlign w:val="center"/>
          </w:tcPr>
          <w:p>
            <w:pPr>
              <w:spacing w:line="0" w:lineRule="atLeast"/>
              <w:rPr>
                <w:rFonts w:ascii="微软雅黑" w:hAnsi="微软雅黑" w:eastAsia="微软雅黑"/>
                <w:szCs w:val="21"/>
              </w:rPr>
            </w:pPr>
            <w:r>
              <w:rPr>
                <w:rFonts w:hint="eastAsia" w:ascii="微软雅黑" w:hAnsi="微软雅黑" w:eastAsia="微软雅黑"/>
                <w:szCs w:val="21"/>
              </w:rPr>
              <w:t>其它</w:t>
            </w:r>
          </w:p>
          <w:p>
            <w:pPr>
              <w:spacing w:line="0" w:lineRule="atLeast"/>
              <w:rPr>
                <w:rFonts w:ascii="微软雅黑" w:hAnsi="微软雅黑" w:eastAsia="微软雅黑"/>
                <w:szCs w:val="21"/>
              </w:rPr>
            </w:pPr>
            <w:r>
              <w:rPr>
                <w:rFonts w:hint="eastAsia" w:ascii="微软雅黑" w:hAnsi="微软雅黑" w:eastAsia="微软雅黑"/>
                <w:szCs w:val="21"/>
              </w:rPr>
              <w:t>（请注明，</w:t>
            </w:r>
            <w:r>
              <w:rPr>
                <w:rFonts w:ascii="微软雅黑" w:hAnsi="微软雅黑" w:eastAsia="微软雅黑"/>
                <w:szCs w:val="21"/>
              </w:rPr>
              <w:t>可添加</w:t>
            </w:r>
            <w:r>
              <w:rPr>
                <w:rFonts w:hint="eastAsia" w:ascii="微软雅黑" w:hAnsi="微软雅黑" w:eastAsia="微软雅黑"/>
                <w:szCs w:val="21"/>
              </w:rPr>
              <w:t>）</w:t>
            </w:r>
          </w:p>
        </w:tc>
        <w:tc>
          <w:tcPr>
            <w:tcW w:w="1788" w:type="dxa"/>
          </w:tcPr>
          <w:p>
            <w:pPr>
              <w:spacing w:line="0" w:lineRule="atLeast"/>
              <w:rPr>
                <w:rFonts w:ascii="微软雅黑" w:hAnsi="微软雅黑" w:eastAsia="微软雅黑"/>
                <w:szCs w:val="21"/>
              </w:rPr>
            </w:pPr>
          </w:p>
        </w:tc>
        <w:tc>
          <w:tcPr>
            <w:tcW w:w="6721" w:type="dxa"/>
            <w:gridSpan w:val="6"/>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524" w:type="dxa"/>
            <w:gridSpan w:val="2"/>
            <w:shd w:val="clear" w:color="auto" w:fill="F2F2F2"/>
            <w:vAlign w:val="center"/>
          </w:tcPr>
          <w:p>
            <w:pPr>
              <w:spacing w:line="0" w:lineRule="atLeast"/>
              <w:rPr>
                <w:rFonts w:ascii="微软雅黑" w:hAnsi="微软雅黑" w:eastAsia="微软雅黑"/>
                <w:b/>
                <w:szCs w:val="21"/>
              </w:rPr>
            </w:pPr>
            <w:r>
              <w:rPr>
                <w:rFonts w:hint="eastAsia" w:ascii="微软雅黑" w:hAnsi="微软雅黑" w:eastAsia="微软雅黑"/>
                <w:b/>
                <w:szCs w:val="21"/>
              </w:rPr>
              <w:t>总计(大写)</w:t>
            </w:r>
          </w:p>
        </w:tc>
        <w:tc>
          <w:tcPr>
            <w:tcW w:w="1788" w:type="dxa"/>
            <w:shd w:val="clear" w:color="auto" w:fill="F2F2F2"/>
          </w:tcPr>
          <w:p>
            <w:pPr>
              <w:spacing w:line="0" w:lineRule="atLeast"/>
              <w:rPr>
                <w:rFonts w:ascii="微软雅黑" w:hAnsi="微软雅黑" w:eastAsia="微软雅黑"/>
                <w:b/>
                <w:szCs w:val="21"/>
              </w:rPr>
            </w:pPr>
          </w:p>
        </w:tc>
        <w:tc>
          <w:tcPr>
            <w:tcW w:w="6721" w:type="dxa"/>
            <w:gridSpan w:val="6"/>
            <w:shd w:val="clear" w:color="auto" w:fill="F2F2F2"/>
            <w:vAlign w:val="center"/>
          </w:tcPr>
          <w:p>
            <w:pPr>
              <w:spacing w:line="0" w:lineRule="atLeast"/>
              <w:rPr>
                <w:rFonts w:ascii="微软雅黑" w:hAnsi="微软雅黑" w:eastAsia="微软雅黑"/>
                <w:b/>
                <w:szCs w:val="21"/>
              </w:rPr>
            </w:pPr>
            <w:r>
              <w:rPr>
                <w:rFonts w:hint="eastAsia" w:ascii="微软雅黑" w:hAnsi="微软雅黑" w:eastAsia="微软雅黑"/>
                <w:b/>
                <w:szCs w:val="21"/>
              </w:rPr>
              <w:t>（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524" w:type="dxa"/>
            <w:gridSpan w:val="2"/>
            <w:shd w:val="clear" w:color="auto" w:fill="F2F2F2"/>
            <w:vAlign w:val="center"/>
          </w:tcPr>
          <w:p>
            <w:pPr>
              <w:spacing w:line="0" w:lineRule="atLeast"/>
              <w:rPr>
                <w:rFonts w:ascii="微软雅黑" w:hAnsi="微软雅黑" w:eastAsia="微软雅黑"/>
                <w:b/>
                <w:color w:val="000000"/>
                <w:szCs w:val="21"/>
              </w:rPr>
            </w:pPr>
            <w:r>
              <w:rPr>
                <w:rFonts w:hint="eastAsia" w:ascii="微软雅黑" w:hAnsi="微软雅黑" w:eastAsia="微软雅黑"/>
                <w:b/>
                <w:color w:val="000000"/>
                <w:szCs w:val="21"/>
              </w:rPr>
              <w:t>折合项目</w:t>
            </w:r>
            <w:r>
              <w:rPr>
                <w:rFonts w:ascii="微软雅黑" w:hAnsi="微软雅黑" w:eastAsia="微软雅黑"/>
                <w:b/>
                <w:color w:val="000000"/>
                <w:szCs w:val="21"/>
              </w:rPr>
              <w:t>单价</w:t>
            </w:r>
          </w:p>
        </w:tc>
        <w:tc>
          <w:tcPr>
            <w:tcW w:w="1788" w:type="dxa"/>
            <w:shd w:val="clear" w:color="auto" w:fill="F2F2F2"/>
          </w:tcPr>
          <w:p>
            <w:pPr>
              <w:spacing w:line="0" w:lineRule="atLeast"/>
              <w:rPr>
                <w:rFonts w:ascii="微软雅黑" w:hAnsi="微软雅黑" w:eastAsia="微软雅黑"/>
                <w:b/>
                <w:color w:val="000000"/>
                <w:szCs w:val="21"/>
              </w:rPr>
            </w:pPr>
          </w:p>
        </w:tc>
        <w:tc>
          <w:tcPr>
            <w:tcW w:w="6721" w:type="dxa"/>
            <w:gridSpan w:val="6"/>
            <w:shd w:val="clear" w:color="auto" w:fill="F2F2F2"/>
            <w:vAlign w:val="center"/>
          </w:tcPr>
          <w:p>
            <w:pPr>
              <w:spacing w:line="0" w:lineRule="atLeast"/>
              <w:rPr>
                <w:rFonts w:ascii="微软雅黑" w:hAnsi="微软雅黑" w:eastAsia="微软雅黑"/>
                <w:b/>
                <w:color w:val="000000"/>
                <w:szCs w:val="21"/>
              </w:rPr>
            </w:pPr>
            <w:r>
              <w:rPr>
                <w:rFonts w:hint="eastAsia" w:ascii="微软雅黑" w:hAnsi="微软雅黑" w:eastAsia="微软雅黑"/>
                <w:b/>
                <w:color w:val="000000"/>
                <w:szCs w:val="21"/>
              </w:rPr>
              <w:t xml:space="preserve">（    </w:t>
            </w:r>
            <w:r>
              <w:rPr>
                <w:rFonts w:ascii="微软雅黑" w:hAnsi="微软雅黑" w:eastAsia="微软雅黑"/>
                <w:b/>
                <w:color w:val="000000"/>
                <w:szCs w:val="21"/>
              </w:rPr>
              <w:t>）万元</w:t>
            </w:r>
            <w:r>
              <w:rPr>
                <w:rFonts w:hint="eastAsia" w:ascii="微软雅黑" w:hAnsi="微软雅黑" w:eastAsia="微软雅黑"/>
                <w:b/>
                <w:color w:val="000000"/>
                <w:szCs w:val="21"/>
              </w:rPr>
              <w:t>/个</w:t>
            </w:r>
          </w:p>
        </w:tc>
      </w:tr>
    </w:tbl>
    <w:p>
      <w:pPr>
        <w:spacing w:line="360" w:lineRule="auto"/>
        <w:rPr>
          <w:rFonts w:ascii="微软雅黑" w:hAnsi="微软雅黑" w:eastAsia="微软雅黑"/>
          <w:szCs w:val="21"/>
          <w:highlight w:val="yellow"/>
        </w:rPr>
      </w:pPr>
    </w:p>
    <w:p>
      <w:r>
        <w:rPr>
          <w:rFonts w:hint="eastAsia" w:ascii="微软雅黑" w:hAnsi="微软雅黑" w:eastAsia="微软雅黑"/>
          <w:szCs w:val="21"/>
        </w:rPr>
        <w:t xml:space="preserve">   注解：以上项目报价均以含税金额报价，无费用可不填写，&lt;系统年维护服务报价表&gt;作为辅助参考报价项目，其金额不计入产品总报价中。</w:t>
      </w:r>
    </w:p>
    <w:p/>
    <w:p/>
    <w:p/>
    <w:p/>
    <w:p/>
    <w:p/>
    <w:p/>
    <w:p/>
    <w:p/>
    <w:p/>
    <w:p/>
    <w:p/>
    <w:p/>
    <w:p/>
    <w:p/>
    <w:p/>
    <w:p/>
    <w:p/>
    <w:p>
      <w:pPr>
        <w:pStyle w:val="2"/>
        <w:rPr>
          <w:rFonts w:ascii="微软雅黑" w:hAnsi="微软雅黑" w:eastAsia="微软雅黑"/>
          <w:sz w:val="28"/>
          <w:szCs w:val="28"/>
        </w:rPr>
      </w:pPr>
      <w:bookmarkStart w:id="115" w:name="_Toc11614"/>
      <w:bookmarkStart w:id="116" w:name="_Toc526784181"/>
      <w:bookmarkStart w:id="117" w:name="_Toc516486666"/>
      <w:bookmarkStart w:id="118" w:name="_Toc527105192"/>
      <w:r>
        <w:rPr>
          <w:rFonts w:hint="eastAsia" w:ascii="微软雅黑" w:hAnsi="微软雅黑" w:eastAsia="微软雅黑"/>
          <w:sz w:val="28"/>
          <w:szCs w:val="28"/>
        </w:rPr>
        <w:t>5.2.2投标函（规范</w:t>
      </w:r>
      <w:r>
        <w:rPr>
          <w:rFonts w:ascii="微软雅黑" w:hAnsi="微软雅黑" w:eastAsia="微软雅黑"/>
          <w:sz w:val="28"/>
          <w:szCs w:val="28"/>
        </w:rPr>
        <w:t>）</w:t>
      </w:r>
      <w:bookmarkEnd w:id="115"/>
      <w:bookmarkEnd w:id="116"/>
      <w:bookmarkEnd w:id="117"/>
      <w:bookmarkEnd w:id="118"/>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投 标 函</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我方己仔细研究、完全理解并满足贵方提供的</w:t>
      </w:r>
      <w:r>
        <w:rPr>
          <w:rFonts w:hint="eastAsia" w:ascii="微软雅黑" w:hAnsi="微软雅黑" w:eastAsia="微软雅黑"/>
          <w:szCs w:val="21"/>
          <w:highlight w:val="yellow"/>
        </w:rPr>
        <w:t>北国先天下容灾调整项目</w:t>
      </w:r>
      <w:r>
        <w:rPr>
          <w:rFonts w:hint="eastAsia" w:ascii="微软雅黑" w:hAnsi="微软雅黑" w:eastAsia="微软雅黑"/>
          <w:szCs w:val="21"/>
        </w:rPr>
        <w:t>招标文件的全部内容，包括招标文件的修改通知（若有），我方愿按照贵方本次招标文件之要求，按我方提交的投标报价清单所述之价格承担并完成设备的</w:t>
      </w:r>
      <w:r>
        <w:rPr>
          <w:rFonts w:ascii="微软雅黑" w:hAnsi="微软雅黑" w:eastAsia="微软雅黑"/>
          <w:szCs w:val="21"/>
        </w:rPr>
        <w:t>搭建、调试</w:t>
      </w:r>
      <w:r>
        <w:rPr>
          <w:rFonts w:hint="eastAsia" w:ascii="微软雅黑" w:hAnsi="微软雅黑" w:eastAsia="微软雅黑"/>
          <w:szCs w:val="21"/>
        </w:rPr>
        <w:t>、实施</w:t>
      </w:r>
      <w:r>
        <w:rPr>
          <w:rFonts w:ascii="微软雅黑" w:hAnsi="微软雅黑" w:eastAsia="微软雅黑"/>
          <w:szCs w:val="21"/>
        </w:rPr>
        <w:t>及验收</w:t>
      </w:r>
      <w:r>
        <w:rPr>
          <w:rFonts w:hint="eastAsia" w:ascii="微软雅黑" w:hAnsi="微软雅黑" w:eastAsia="微软雅黑"/>
          <w:szCs w:val="21"/>
        </w:rPr>
        <w:t>，验收合格并提供</w:t>
      </w:r>
      <w:r>
        <w:rPr>
          <w:rFonts w:ascii="微软雅黑" w:hAnsi="微软雅黑" w:eastAsia="微软雅黑"/>
          <w:szCs w:val="21"/>
        </w:rPr>
        <w:t>相关支持性服务</w:t>
      </w:r>
      <w:r>
        <w:rPr>
          <w:rFonts w:hint="eastAsia" w:ascii="微软雅黑" w:hAnsi="微软雅黑" w:eastAsia="微软雅黑"/>
          <w:szCs w:val="21"/>
        </w:rPr>
        <w:t>。</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投标文件中所有关于投标资格的文件、证明材料、陈述均是真实的、准确的。若有违背，我方愿意承担由此而产生的一切后果。</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如果贵方有要求，我方愿意进一步提供与本投标有关的任何证据或资料。</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szCs w:val="21"/>
        </w:rPr>
      </w:pPr>
      <w:r>
        <w:rPr>
          <w:rFonts w:hint="eastAsia" w:ascii="微软雅黑" w:hAnsi="微软雅黑" w:eastAsia="微软雅黑"/>
          <w:szCs w:val="21"/>
        </w:rPr>
        <w:t>6</w:t>
      </w:r>
      <w:r>
        <w:rPr>
          <w:rFonts w:hint="eastAsia" w:ascii="微软雅黑" w:hAnsi="微软雅黑" w:eastAsia="微软雅黑"/>
          <w:szCs w:val="21"/>
        </w:rPr>
        <w:tab/>
      </w:r>
      <w:r>
        <w:rPr>
          <w:rFonts w:hint="eastAsia" w:ascii="微软雅黑" w:hAnsi="微软雅黑" w:eastAsia="微软雅黑"/>
          <w:szCs w:val="21"/>
        </w:rPr>
        <w:t>我方同意承担投标过程中产生的所有费用及风险，不因落标而向贵方主张任何费用或权利。</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 xml:space="preserve">                                                  投标人名称（盖章）：</w:t>
      </w:r>
    </w:p>
    <w:p>
      <w:pPr>
        <w:spacing w:line="360" w:lineRule="auto"/>
        <w:rPr>
          <w:rFonts w:ascii="微软雅黑" w:hAnsi="微软雅黑" w:eastAsia="微软雅黑"/>
          <w:szCs w:val="21"/>
        </w:rPr>
      </w:pPr>
      <w:r>
        <w:rPr>
          <w:rFonts w:hint="eastAsia" w:ascii="微软雅黑" w:hAnsi="微软雅黑" w:eastAsia="微软雅黑"/>
          <w:szCs w:val="21"/>
        </w:rPr>
        <w:t xml:space="preserve">                                                  法定代表人或授权代表签署：</w:t>
      </w:r>
    </w:p>
    <w:p>
      <w:pPr>
        <w:rPr>
          <w:rFonts w:ascii="微软雅黑" w:hAnsi="微软雅黑" w:eastAsia="微软雅黑"/>
          <w:szCs w:val="21"/>
        </w:rPr>
      </w:pPr>
      <w:r>
        <w:rPr>
          <w:rFonts w:hint="eastAsia" w:ascii="微软雅黑" w:hAnsi="微软雅黑" w:eastAsia="微软雅黑"/>
          <w:szCs w:val="21"/>
        </w:rPr>
        <w:t xml:space="preserve">                                                  日期：   年    月    日</w:t>
      </w:r>
    </w:p>
    <w:p/>
    <w:p>
      <w:pPr>
        <w:pStyle w:val="2"/>
        <w:rPr>
          <w:rFonts w:ascii="微软雅黑" w:hAnsi="微软雅黑" w:eastAsia="微软雅黑"/>
          <w:sz w:val="28"/>
          <w:szCs w:val="28"/>
        </w:rPr>
      </w:pPr>
      <w:bookmarkStart w:id="119" w:name="_Toc526784182"/>
      <w:bookmarkStart w:id="120" w:name="_Toc527105193"/>
      <w:bookmarkStart w:id="121" w:name="_Toc12737"/>
      <w:bookmarkStart w:id="122" w:name="_Toc516486667"/>
      <w:bookmarkStart w:id="123" w:name="_Toc374704127"/>
      <w:r>
        <w:rPr>
          <w:rFonts w:hint="eastAsia" w:ascii="微软雅黑" w:hAnsi="微软雅黑" w:eastAsia="微软雅黑"/>
          <w:sz w:val="28"/>
          <w:szCs w:val="28"/>
        </w:rPr>
        <w:t>5.2.3承诺书（规范</w:t>
      </w:r>
      <w:r>
        <w:rPr>
          <w:rFonts w:ascii="微软雅黑" w:hAnsi="微软雅黑" w:eastAsia="微软雅黑"/>
          <w:sz w:val="28"/>
          <w:szCs w:val="28"/>
        </w:rPr>
        <w:t>）</w:t>
      </w:r>
      <w:bookmarkEnd w:id="119"/>
      <w:bookmarkEnd w:id="120"/>
      <w:bookmarkEnd w:id="121"/>
      <w:bookmarkEnd w:id="122"/>
      <w:bookmarkEnd w:id="123"/>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承 诺 书</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r>
        <w:rPr>
          <w:rFonts w:hint="eastAsia" w:ascii="微软雅黑" w:hAnsi="微软雅黑" w:eastAsia="微软雅黑"/>
          <w:szCs w:val="21"/>
        </w:rPr>
        <w:t>我方愿意参加贵方存</w:t>
      </w:r>
      <w:r>
        <w:rPr>
          <w:rFonts w:hint="eastAsia" w:ascii="微软雅黑" w:hAnsi="微软雅黑" w:eastAsia="微软雅黑"/>
          <w:szCs w:val="21"/>
          <w:highlight w:val="yellow"/>
        </w:rPr>
        <w:t>北国先天下容灾调整项目</w:t>
      </w:r>
      <w:r>
        <w:rPr>
          <w:rFonts w:ascii="微软雅黑" w:hAnsi="微软雅黑" w:eastAsia="微软雅黑"/>
          <w:szCs w:val="21"/>
        </w:rPr>
        <w:t>采购</w:t>
      </w:r>
      <w:r>
        <w:rPr>
          <w:rFonts w:hint="eastAsia" w:ascii="微软雅黑" w:hAnsi="微软雅黑" w:eastAsia="微软雅黑"/>
          <w:szCs w:val="21"/>
        </w:rPr>
        <w:t>的竞标。在此，我方郑重承诺如下：</w:t>
      </w: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我方保证此次投标资料真实可信，如有虚假，我方无条件放弃本次投标资格。</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我方保证此次投标报价包含招标文件中招标范围内全部内容，如有丢项、漏项或计算错误，我方承诺不再向贵方提出调整报价要求。</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如我方中标，合同一经签署，我方严格按照合同相关规定完成相关工作。未经贵方同意，我方承诺不将信息化系统</w:t>
      </w:r>
      <w:r>
        <w:rPr>
          <w:rFonts w:ascii="微软雅黑" w:hAnsi="微软雅黑" w:eastAsia="微软雅黑"/>
          <w:szCs w:val="21"/>
        </w:rPr>
        <w:t>的提供及实施</w:t>
      </w:r>
      <w:r>
        <w:rPr>
          <w:rFonts w:hint="eastAsia" w:ascii="微软雅黑" w:hAnsi="微软雅黑" w:eastAsia="微软雅黑"/>
          <w:szCs w:val="21"/>
        </w:rPr>
        <w:t>分包转包给其他单位，否则将承担法律责任。</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如我方中标，我方承诺按贵方要求实施</w:t>
      </w:r>
      <w:r>
        <w:rPr>
          <w:rFonts w:ascii="微软雅黑" w:hAnsi="微软雅黑" w:eastAsia="微软雅黑"/>
          <w:szCs w:val="21"/>
        </w:rPr>
        <w:t>周期</w:t>
      </w:r>
      <w:r>
        <w:rPr>
          <w:rFonts w:hint="eastAsia" w:ascii="微软雅黑" w:hAnsi="微软雅黑" w:eastAsia="微软雅黑"/>
          <w:szCs w:val="21"/>
        </w:rPr>
        <w:t>按时完成信息化</w:t>
      </w:r>
      <w:r>
        <w:rPr>
          <w:rFonts w:ascii="微软雅黑" w:hAnsi="微软雅黑" w:eastAsia="微软雅黑"/>
          <w:szCs w:val="21"/>
        </w:rPr>
        <w:t>系统的</w:t>
      </w:r>
      <w:r>
        <w:rPr>
          <w:rFonts w:hint="eastAsia" w:ascii="微软雅黑" w:hAnsi="微软雅黑" w:eastAsia="微软雅黑"/>
          <w:szCs w:val="21"/>
        </w:rPr>
        <w:t>安装</w:t>
      </w:r>
      <w:r>
        <w:rPr>
          <w:rFonts w:ascii="微软雅黑" w:hAnsi="微软雅黑" w:eastAsia="微软雅黑"/>
          <w:szCs w:val="21"/>
        </w:rPr>
        <w:t>、</w:t>
      </w:r>
      <w:r>
        <w:rPr>
          <w:rFonts w:hint="eastAsia" w:ascii="微软雅黑" w:hAnsi="微软雅黑" w:eastAsia="微软雅黑"/>
          <w:szCs w:val="21"/>
        </w:rPr>
        <w:t>调试</w:t>
      </w:r>
      <w:r>
        <w:rPr>
          <w:rFonts w:ascii="微软雅黑" w:hAnsi="微软雅黑" w:eastAsia="微软雅黑"/>
          <w:szCs w:val="21"/>
        </w:rPr>
        <w:t>、开发及实施</w:t>
      </w:r>
      <w:r>
        <w:rPr>
          <w:rFonts w:hint="eastAsia" w:ascii="微软雅黑" w:hAnsi="微软雅黑" w:eastAsia="微软雅黑"/>
          <w:szCs w:val="21"/>
        </w:rPr>
        <w:t>，并确保</w:t>
      </w:r>
      <w:r>
        <w:rPr>
          <w:rFonts w:ascii="微软雅黑" w:hAnsi="微软雅黑" w:eastAsia="微软雅黑"/>
          <w:szCs w:val="21"/>
        </w:rPr>
        <w:t>信息化系统服务标准及质量</w:t>
      </w:r>
      <w:r>
        <w:rPr>
          <w:rFonts w:hint="eastAsia" w:ascii="微软雅黑" w:hAnsi="微软雅黑" w:eastAsia="微软雅黑"/>
          <w:szCs w:val="21"/>
        </w:rPr>
        <w:t>。</w:t>
      </w:r>
    </w:p>
    <w:p>
      <w:pPr>
        <w:spacing w:line="360" w:lineRule="auto"/>
        <w:rPr>
          <w:rFonts w:ascii="微软雅黑" w:hAnsi="微软雅黑" w:eastAsia="微软雅黑"/>
          <w:szCs w:val="21"/>
        </w:rPr>
      </w:pPr>
      <w:r>
        <w:rPr>
          <w:rFonts w:hint="eastAsia" w:ascii="微软雅黑" w:hAnsi="微软雅黑" w:eastAsia="微软雅黑"/>
          <w:szCs w:val="21"/>
        </w:rPr>
        <w:t>6</w:t>
      </w:r>
      <w:r>
        <w:rPr>
          <w:rFonts w:hint="eastAsia" w:ascii="微软雅黑" w:hAnsi="微软雅黑" w:eastAsia="微软雅黑"/>
          <w:szCs w:val="21"/>
        </w:rPr>
        <w:tab/>
      </w:r>
      <w:r>
        <w:rPr>
          <w:rFonts w:hint="eastAsia" w:ascii="微软雅黑" w:hAnsi="微软雅黑" w:eastAsia="微软雅黑"/>
          <w:szCs w:val="21"/>
        </w:rPr>
        <w:t>我方承诺：无论我司是否中标，我司将对本次招标的全部过程及内容严格保密。</w:t>
      </w:r>
    </w:p>
    <w:p>
      <w:pPr>
        <w:spacing w:line="360" w:lineRule="auto"/>
        <w:rPr>
          <w:rFonts w:ascii="微软雅黑" w:hAnsi="微软雅黑" w:eastAsia="微软雅黑"/>
          <w:szCs w:val="21"/>
        </w:rPr>
      </w:pPr>
      <w:r>
        <w:rPr>
          <w:rFonts w:hint="eastAsia" w:ascii="微软雅黑" w:hAnsi="微软雅黑" w:eastAsia="微软雅黑"/>
          <w:szCs w:val="21"/>
        </w:rPr>
        <w:t>7</w:t>
      </w:r>
      <w:r>
        <w:rPr>
          <w:rFonts w:hint="eastAsia" w:ascii="微软雅黑" w:hAnsi="微软雅黑" w:eastAsia="微软雅黑"/>
          <w:szCs w:val="21"/>
        </w:rPr>
        <w:tab/>
      </w:r>
      <w:r>
        <w:rPr>
          <w:rFonts w:hint="eastAsia" w:ascii="微软雅黑" w:hAnsi="微软雅黑" w:eastAsia="微软雅黑"/>
          <w:szCs w:val="21"/>
        </w:rPr>
        <w:t>我方的其他承诺：</w:t>
      </w:r>
    </w:p>
    <w:p>
      <w:pPr>
        <w:spacing w:line="360" w:lineRule="auto"/>
        <w:rPr>
          <w:rFonts w:ascii="微软雅黑" w:hAnsi="微软雅黑" w:eastAsia="微软雅黑"/>
          <w:szCs w:val="21"/>
        </w:rPr>
      </w:pPr>
      <w:r>
        <w:rPr>
          <w:rFonts w:hint="eastAsia" w:ascii="微软雅黑" w:hAnsi="微软雅黑" w:eastAsia="微软雅黑"/>
          <w:szCs w:val="21"/>
        </w:rPr>
        <w:t xml:space="preserve">    本公司承诺服从招标人北国商城股份有限公司的管理，并遵守国家有关法律法规的规定。本公司承诺严格遵守向招标人提供所有信息化系统与投标书内容一致。</w:t>
      </w:r>
    </w:p>
    <w:p>
      <w:pPr>
        <w:spacing w:line="360" w:lineRule="auto"/>
        <w:rPr>
          <w:rFonts w:ascii="微软雅黑" w:hAnsi="微软雅黑" w:eastAsia="微软雅黑"/>
          <w:szCs w:val="21"/>
        </w:rPr>
      </w:pPr>
      <w:r>
        <w:rPr>
          <w:rFonts w:hint="eastAsia" w:ascii="微软雅黑" w:hAnsi="微软雅黑" w:eastAsia="微软雅黑"/>
          <w:szCs w:val="21"/>
        </w:rPr>
        <w:t xml:space="preserve">                                                     投标人名称（盖章）：</w:t>
      </w:r>
    </w:p>
    <w:p>
      <w:pPr>
        <w:spacing w:line="360" w:lineRule="auto"/>
        <w:rPr>
          <w:rFonts w:ascii="微软雅黑" w:hAnsi="微软雅黑" w:eastAsia="微软雅黑"/>
          <w:szCs w:val="21"/>
        </w:rPr>
      </w:pPr>
      <w:r>
        <w:rPr>
          <w:rFonts w:hint="eastAsia" w:ascii="微软雅黑" w:hAnsi="微软雅黑" w:eastAsia="微软雅黑"/>
          <w:szCs w:val="21"/>
        </w:rPr>
        <w:t xml:space="preserve">                                                     法定代表人或授权代表：</w:t>
      </w:r>
    </w:p>
    <w:p>
      <w:pPr>
        <w:rPr>
          <w:rFonts w:ascii="微软雅黑" w:hAnsi="微软雅黑" w:eastAsia="微软雅黑"/>
          <w:szCs w:val="21"/>
        </w:rPr>
      </w:pPr>
      <w:r>
        <w:rPr>
          <w:rFonts w:hint="eastAsia" w:ascii="微软雅黑" w:hAnsi="微软雅黑" w:eastAsia="微软雅黑"/>
          <w:szCs w:val="21"/>
        </w:rPr>
        <w:t xml:space="preserve">                                                     日期：   年   月   日</w:t>
      </w:r>
    </w:p>
    <w:p>
      <w:pPr>
        <w:pStyle w:val="2"/>
        <w:rPr>
          <w:rFonts w:ascii="微软雅黑" w:hAnsi="微软雅黑" w:eastAsia="微软雅黑"/>
          <w:sz w:val="28"/>
          <w:szCs w:val="28"/>
        </w:rPr>
      </w:pPr>
      <w:bookmarkStart w:id="124" w:name="_Toc526784183"/>
      <w:bookmarkStart w:id="125" w:name="_Toc13350"/>
      <w:bookmarkStart w:id="126" w:name="_Toc527105194"/>
      <w:bookmarkStart w:id="127" w:name="_Toc516486668"/>
      <w:bookmarkStart w:id="128" w:name="_Toc374704128"/>
      <w:r>
        <w:rPr>
          <w:rFonts w:hint="eastAsia" w:ascii="微软雅黑" w:hAnsi="微软雅黑" w:eastAsia="微软雅黑"/>
          <w:sz w:val="28"/>
          <w:szCs w:val="28"/>
        </w:rPr>
        <w:t>5.2.4投标人企业信息和联络方式一览表（规范</w:t>
      </w:r>
      <w:r>
        <w:rPr>
          <w:rFonts w:ascii="微软雅黑" w:hAnsi="微软雅黑" w:eastAsia="微软雅黑"/>
          <w:sz w:val="28"/>
          <w:szCs w:val="28"/>
        </w:rPr>
        <w:t>）</w:t>
      </w:r>
      <w:bookmarkEnd w:id="124"/>
      <w:bookmarkEnd w:id="125"/>
      <w:bookmarkEnd w:id="126"/>
      <w:bookmarkEnd w:id="127"/>
      <w:bookmarkEnd w:id="128"/>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投标人企业信息和联络方式一览表</w:t>
      </w:r>
    </w:p>
    <w:tbl>
      <w:tblPr>
        <w:tblStyle w:val="14"/>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6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shd w:val="clear" w:color="auto" w:fill="A6A6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序号</w:t>
            </w:r>
          </w:p>
        </w:tc>
        <w:tc>
          <w:tcPr>
            <w:tcW w:w="3603" w:type="dxa"/>
            <w:shd w:val="clear" w:color="auto" w:fill="A6A6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内容</w:t>
            </w:r>
          </w:p>
        </w:tc>
        <w:tc>
          <w:tcPr>
            <w:tcW w:w="5670" w:type="dxa"/>
            <w:shd w:val="clear" w:color="auto" w:fill="A6A6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投标人填写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1</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投标人名称</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2</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3</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总部联系电话</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4</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总部传真</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5</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投标人指定账号，招投标所有涉及返还费用招标人均将汇入此账号</w:t>
            </w:r>
          </w:p>
        </w:tc>
        <w:tc>
          <w:tcPr>
            <w:tcW w:w="5670" w:type="dxa"/>
            <w:vAlign w:val="center"/>
          </w:tcPr>
          <w:p>
            <w:pPr>
              <w:spacing w:line="360" w:lineRule="auto"/>
              <w:rPr>
                <w:rFonts w:ascii="微软雅黑" w:hAnsi="微软雅黑" w:eastAsia="微软雅黑"/>
                <w:b/>
                <w:szCs w:val="21"/>
              </w:rPr>
            </w:pPr>
            <w:r>
              <w:rPr>
                <w:rFonts w:hint="eastAsia" w:ascii="微软雅黑" w:hAnsi="微软雅黑" w:eastAsia="微软雅黑"/>
                <w:b/>
                <w:szCs w:val="21"/>
              </w:rPr>
              <w:t>开户名称：</w:t>
            </w:r>
          </w:p>
          <w:p>
            <w:pPr>
              <w:spacing w:line="360" w:lineRule="auto"/>
              <w:rPr>
                <w:rFonts w:ascii="微软雅黑" w:hAnsi="微软雅黑" w:eastAsia="微软雅黑"/>
                <w:b/>
                <w:szCs w:val="21"/>
              </w:rPr>
            </w:pPr>
            <w:r>
              <w:rPr>
                <w:rFonts w:hint="eastAsia" w:ascii="微软雅黑" w:hAnsi="微软雅黑" w:eastAsia="微软雅黑"/>
                <w:b/>
                <w:szCs w:val="21"/>
              </w:rPr>
              <w:t>开户银行：</w:t>
            </w:r>
          </w:p>
          <w:p>
            <w:pPr>
              <w:spacing w:line="360" w:lineRule="auto"/>
              <w:rPr>
                <w:rFonts w:ascii="微软雅黑" w:hAnsi="微软雅黑" w:eastAsia="微软雅黑"/>
                <w:szCs w:val="21"/>
              </w:rPr>
            </w:pPr>
            <w:r>
              <w:rPr>
                <w:rFonts w:hint="eastAsia" w:ascii="微软雅黑" w:hAnsi="微软雅黑" w:eastAsia="微软雅黑"/>
                <w:b/>
                <w:szCs w:val="21"/>
              </w:rPr>
              <w:t>开户帐号：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6</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法人授权委托人</w:t>
            </w:r>
            <w:r>
              <w:rPr>
                <w:rFonts w:ascii="微软雅黑" w:hAnsi="微软雅黑" w:eastAsia="微软雅黑"/>
                <w:szCs w:val="21"/>
              </w:rPr>
              <w:t>1</w:t>
            </w:r>
            <w:r>
              <w:rPr>
                <w:rFonts w:hint="eastAsia" w:ascii="微软雅黑" w:hAnsi="微软雅黑" w:eastAsia="微软雅黑"/>
                <w:szCs w:val="21"/>
              </w:rPr>
              <w:t>姓名及职务</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7</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联系电话</w:t>
            </w:r>
            <w:r>
              <w:rPr>
                <w:rFonts w:ascii="微软雅黑" w:hAnsi="微软雅黑" w:eastAsia="微软雅黑"/>
                <w:szCs w:val="21"/>
              </w:rPr>
              <w:t>/email</w:t>
            </w:r>
            <w:r>
              <w:rPr>
                <w:rFonts w:hint="eastAsia" w:ascii="微软雅黑" w:hAnsi="微软雅黑" w:eastAsia="微软雅黑"/>
                <w:szCs w:val="21"/>
              </w:rPr>
              <w:t>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8</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法人授权委托人</w:t>
            </w:r>
            <w:r>
              <w:rPr>
                <w:rFonts w:ascii="微软雅黑" w:hAnsi="微软雅黑" w:eastAsia="微软雅黑"/>
                <w:szCs w:val="21"/>
              </w:rPr>
              <w:t>2</w:t>
            </w:r>
            <w:r>
              <w:rPr>
                <w:rFonts w:hint="eastAsia" w:ascii="微软雅黑" w:hAnsi="微软雅黑" w:eastAsia="微软雅黑"/>
                <w:szCs w:val="21"/>
              </w:rPr>
              <w:t>姓名及职务</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9</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联系电话</w:t>
            </w:r>
            <w:r>
              <w:rPr>
                <w:rFonts w:ascii="微软雅黑" w:hAnsi="微软雅黑" w:eastAsia="微软雅黑"/>
                <w:szCs w:val="21"/>
              </w:rPr>
              <w:t>/email</w:t>
            </w:r>
            <w:r>
              <w:rPr>
                <w:rFonts w:hint="eastAsia" w:ascii="微软雅黑" w:hAnsi="微软雅黑" w:eastAsia="微软雅黑"/>
                <w:szCs w:val="21"/>
              </w:rPr>
              <w:t>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10</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商务洽商期间公司高层来人姓名、职务及联系方式</w:t>
            </w:r>
          </w:p>
        </w:tc>
        <w:tc>
          <w:tcPr>
            <w:tcW w:w="5670" w:type="dxa"/>
            <w:vAlign w:val="center"/>
          </w:tcPr>
          <w:p>
            <w:pPr>
              <w:spacing w:line="360" w:lineRule="auto"/>
              <w:rPr>
                <w:rFonts w:ascii="微软雅黑" w:hAnsi="微软雅黑" w:eastAsia="微软雅黑"/>
                <w:szCs w:val="21"/>
              </w:rPr>
            </w:pPr>
          </w:p>
        </w:tc>
      </w:tr>
    </w:tbl>
    <w:p>
      <w:pPr>
        <w:spacing w:line="360" w:lineRule="auto"/>
        <w:ind w:right="31" w:rightChars="15"/>
        <w:jc w:val="left"/>
        <w:rPr>
          <w:rFonts w:ascii="微软雅黑" w:hAnsi="微软雅黑" w:eastAsia="微软雅黑"/>
          <w:szCs w:val="21"/>
        </w:rPr>
      </w:pPr>
    </w:p>
    <w:p>
      <w:pPr>
        <w:pStyle w:val="7"/>
        <w:wordWrap w:val="0"/>
        <w:snapToGrid w:val="0"/>
        <w:spacing w:before="120" w:line="360" w:lineRule="auto"/>
        <w:ind w:right="480"/>
        <w:jc w:val="center"/>
        <w:rPr>
          <w:rFonts w:ascii="微软雅黑" w:hAnsi="微软雅黑" w:eastAsia="微软雅黑"/>
          <w:bCs/>
          <w:u w:val="single"/>
        </w:rPr>
      </w:pPr>
      <w:r>
        <w:rPr>
          <w:rFonts w:hint="eastAsia" w:ascii="微软雅黑" w:hAnsi="微软雅黑" w:eastAsia="微软雅黑"/>
          <w:color w:val="000000"/>
        </w:rPr>
        <w:t xml:space="preserve">                                                   投标人名称（盖章）</w:t>
      </w:r>
      <w:r>
        <w:rPr>
          <w:rFonts w:hint="eastAsia" w:ascii="微软雅黑" w:hAnsi="微软雅黑" w:eastAsia="微软雅黑"/>
          <w:bCs/>
          <w:color w:val="000000"/>
        </w:rPr>
        <w:t>：</w:t>
      </w:r>
    </w:p>
    <w:p>
      <w:pPr>
        <w:pStyle w:val="7"/>
        <w:wordWrap w:val="0"/>
        <w:snapToGrid w:val="0"/>
        <w:spacing w:before="120" w:line="360" w:lineRule="auto"/>
        <w:ind w:right="420"/>
        <w:rPr>
          <w:rFonts w:ascii="微软雅黑" w:hAnsi="微软雅黑" w:eastAsia="微软雅黑"/>
          <w:bCs/>
          <w:u w:val="single"/>
        </w:rPr>
      </w:pPr>
      <w:r>
        <w:rPr>
          <w:rFonts w:hint="eastAsia" w:ascii="微软雅黑" w:hAnsi="微软雅黑" w:eastAsia="微软雅黑"/>
          <w:color w:val="000000"/>
        </w:rPr>
        <w:t xml:space="preserve">                                                            法定代表人或授权代表签署</w:t>
      </w:r>
      <w:r>
        <w:rPr>
          <w:rFonts w:hint="eastAsia" w:ascii="微软雅黑" w:hAnsi="微软雅黑" w:eastAsia="微软雅黑"/>
          <w:bCs/>
          <w:color w:val="000000"/>
        </w:rPr>
        <w:t>：</w:t>
      </w:r>
    </w:p>
    <w:p>
      <w:pPr>
        <w:tabs>
          <w:tab w:val="left" w:pos="720"/>
          <w:tab w:val="left" w:pos="900"/>
        </w:tabs>
        <w:spacing w:line="360" w:lineRule="auto"/>
        <w:ind w:right="31" w:rightChars="15"/>
        <w:jc w:val="center"/>
        <w:rPr>
          <w:rFonts w:ascii="微软雅黑" w:hAnsi="微软雅黑" w:eastAsia="微软雅黑"/>
          <w:bCs/>
          <w:szCs w:val="21"/>
        </w:rPr>
      </w:pPr>
      <w:r>
        <w:rPr>
          <w:rFonts w:hint="eastAsia" w:ascii="微软雅黑" w:hAnsi="微软雅黑" w:eastAsia="微软雅黑"/>
          <w:color w:val="000000"/>
          <w:szCs w:val="21"/>
        </w:rPr>
        <w:t xml:space="preserve">                                                   日期：  </w:t>
      </w:r>
      <w:r>
        <w:rPr>
          <w:rFonts w:hint="eastAsia" w:ascii="微软雅黑" w:hAnsi="微软雅黑" w:eastAsia="微软雅黑"/>
          <w:bCs/>
          <w:szCs w:val="21"/>
        </w:rPr>
        <w:t>年    月    日</w:t>
      </w:r>
    </w:p>
    <w:p>
      <w:pPr>
        <w:rPr>
          <w:rFonts w:ascii="微软雅黑" w:hAnsi="微软雅黑" w:eastAsia="微软雅黑"/>
          <w:szCs w:val="21"/>
        </w:rPr>
      </w:pPr>
    </w:p>
    <w:p>
      <w:pPr>
        <w:pStyle w:val="2"/>
        <w:rPr>
          <w:rFonts w:ascii="微软雅黑" w:hAnsi="微软雅黑" w:eastAsia="微软雅黑"/>
          <w:sz w:val="28"/>
          <w:szCs w:val="28"/>
        </w:rPr>
      </w:pPr>
      <w:bookmarkStart w:id="129" w:name="_Toc374704129"/>
      <w:bookmarkStart w:id="130" w:name="_Toc527105195"/>
      <w:bookmarkStart w:id="131" w:name="_Toc526784184"/>
      <w:bookmarkStart w:id="132" w:name="_Toc516486669"/>
      <w:bookmarkStart w:id="133" w:name="_Toc18615"/>
      <w:r>
        <w:rPr>
          <w:rFonts w:hint="eastAsia" w:ascii="微软雅黑" w:hAnsi="微软雅黑" w:eastAsia="微软雅黑"/>
          <w:sz w:val="28"/>
          <w:szCs w:val="28"/>
        </w:rPr>
        <w:t>5.2.5法定代表人身份</w:t>
      </w:r>
      <w:r>
        <w:rPr>
          <w:rFonts w:ascii="微软雅黑" w:hAnsi="微软雅黑" w:eastAsia="微软雅黑"/>
          <w:sz w:val="28"/>
          <w:szCs w:val="28"/>
        </w:rPr>
        <w:t>证明书</w:t>
      </w:r>
      <w:r>
        <w:rPr>
          <w:rFonts w:hint="eastAsia" w:ascii="微软雅黑" w:hAnsi="微软雅黑" w:eastAsia="微软雅黑"/>
          <w:sz w:val="28"/>
          <w:szCs w:val="28"/>
        </w:rPr>
        <w:t>（规范</w:t>
      </w:r>
      <w:r>
        <w:rPr>
          <w:rFonts w:ascii="微软雅黑" w:hAnsi="微软雅黑" w:eastAsia="微软雅黑"/>
          <w:sz w:val="28"/>
          <w:szCs w:val="28"/>
        </w:rPr>
        <w:t>）</w:t>
      </w:r>
      <w:bookmarkEnd w:id="129"/>
      <w:bookmarkEnd w:id="130"/>
      <w:bookmarkEnd w:id="131"/>
      <w:bookmarkEnd w:id="132"/>
      <w:bookmarkEnd w:id="133"/>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法定</w:t>
      </w:r>
      <w:r>
        <w:rPr>
          <w:rFonts w:ascii="微软雅黑" w:hAnsi="微软雅黑" w:eastAsia="微软雅黑"/>
          <w:b/>
          <w:szCs w:val="21"/>
        </w:rPr>
        <w:t>代表人身份证明书</w:t>
      </w:r>
    </w:p>
    <w:p>
      <w:pPr>
        <w:spacing w:line="360" w:lineRule="auto"/>
        <w:rPr>
          <w:rFonts w:ascii="微软雅黑" w:hAnsi="微软雅黑" w:eastAsia="微软雅黑"/>
          <w:szCs w:val="21"/>
        </w:rPr>
      </w:pPr>
      <w:r>
        <w:rPr>
          <w:rFonts w:hint="eastAsia" w:ascii="微软雅黑" w:hAnsi="微软雅黑" w:eastAsia="微软雅黑"/>
          <w:szCs w:val="21"/>
        </w:rPr>
        <w:t>单位名称：</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单位性质：</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地    址：</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成立时间：年月日</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 xml:space="preserve">经营期限： </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姓名：性别：年龄：职务：</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系</w:t>
      </w:r>
      <w:r>
        <w:rPr>
          <w:rFonts w:hint="eastAsia" w:ascii="微软雅黑" w:hAnsi="微软雅黑" w:eastAsia="微软雅黑"/>
          <w:szCs w:val="21"/>
          <w:u w:val="single"/>
        </w:rPr>
        <w:t xml:space="preserve">          （投标人名称）         </w:t>
      </w:r>
      <w:r>
        <w:rPr>
          <w:rFonts w:hint="eastAsia" w:ascii="微软雅黑" w:hAnsi="微软雅黑" w:eastAsia="微软雅黑"/>
          <w:szCs w:val="21"/>
        </w:rPr>
        <w:t>的法定代表人。（后附身份证复印件）</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特此证明。</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投标人名称（盖章）：</w:t>
      </w:r>
    </w:p>
    <w:p>
      <w:pPr>
        <w:rPr>
          <w:rFonts w:ascii="微软雅黑" w:hAnsi="微软雅黑" w:eastAsia="微软雅黑"/>
          <w:szCs w:val="21"/>
        </w:rPr>
      </w:pPr>
      <w:r>
        <w:rPr>
          <w:rFonts w:hint="eastAsia" w:ascii="微软雅黑" w:hAnsi="微软雅黑" w:eastAsia="微软雅黑"/>
          <w:szCs w:val="21"/>
        </w:rPr>
        <w:t xml:space="preserve">                                                   日期：      年      月      日</w:t>
      </w:r>
    </w:p>
    <w:p>
      <w:pPr>
        <w:pStyle w:val="2"/>
        <w:rPr>
          <w:rFonts w:ascii="微软雅黑" w:hAnsi="微软雅黑" w:eastAsia="微软雅黑"/>
        </w:rPr>
      </w:pPr>
      <w:bookmarkStart w:id="134" w:name="_Toc374704130"/>
      <w:bookmarkStart w:id="135" w:name="_Toc516486670"/>
      <w:bookmarkStart w:id="136" w:name="_Toc527105196"/>
      <w:bookmarkStart w:id="137" w:name="_Toc526784185"/>
      <w:bookmarkStart w:id="138" w:name="_Toc6260"/>
      <w:r>
        <w:rPr>
          <w:rFonts w:hint="eastAsia" w:ascii="微软雅黑" w:hAnsi="微软雅黑" w:eastAsia="微软雅黑"/>
          <w:sz w:val="28"/>
          <w:szCs w:val="28"/>
        </w:rPr>
        <w:t>5.2.6企业法人及法定代表人授权委托书（规范</w:t>
      </w:r>
      <w:r>
        <w:rPr>
          <w:rFonts w:ascii="微软雅黑" w:hAnsi="微软雅黑" w:eastAsia="微软雅黑"/>
        </w:rPr>
        <w:t>）</w:t>
      </w:r>
      <w:bookmarkEnd w:id="134"/>
      <w:bookmarkEnd w:id="135"/>
      <w:bookmarkEnd w:id="136"/>
      <w:bookmarkEnd w:id="137"/>
      <w:bookmarkEnd w:id="138"/>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企业法人及法定代表人授权委托书</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p>
    <w:p>
      <w:pPr>
        <w:spacing w:line="360" w:lineRule="auto"/>
        <w:ind w:firstLine="420"/>
        <w:jc w:val="left"/>
        <w:rPr>
          <w:rFonts w:ascii="微软雅黑" w:hAnsi="微软雅黑" w:eastAsia="微软雅黑"/>
          <w:szCs w:val="21"/>
        </w:rPr>
      </w:pPr>
      <w:r>
        <w:rPr>
          <w:rFonts w:hint="eastAsia" w:ascii="微软雅黑" w:hAnsi="微软雅黑" w:eastAsia="微软雅黑"/>
          <w:szCs w:val="21"/>
          <w:u w:val="single"/>
        </w:rPr>
        <w:t xml:space="preserve">       （投标人名称）       </w:t>
      </w:r>
      <w:r>
        <w:rPr>
          <w:rFonts w:hint="eastAsia" w:ascii="微软雅黑" w:hAnsi="微软雅黑" w:eastAsia="微软雅黑"/>
          <w:szCs w:val="21"/>
        </w:rPr>
        <w:t>法定代表人授权</w:t>
      </w:r>
      <w:r>
        <w:rPr>
          <w:rFonts w:hint="eastAsia" w:ascii="微软雅黑" w:hAnsi="微软雅黑" w:eastAsia="微软雅黑"/>
          <w:szCs w:val="21"/>
          <w:u w:val="single"/>
        </w:rPr>
        <w:t xml:space="preserve"> （全权代表姓名、职务） </w:t>
      </w:r>
      <w:r>
        <w:rPr>
          <w:rFonts w:hint="eastAsia" w:ascii="微软雅黑" w:hAnsi="微软雅黑" w:eastAsia="微软雅黑"/>
          <w:szCs w:val="21"/>
        </w:rPr>
        <w:t>为全权代表，参加贵方组织的</w:t>
      </w:r>
      <w:r>
        <w:rPr>
          <w:rFonts w:hint="eastAsia" w:ascii="微软雅黑" w:hAnsi="微软雅黑" w:eastAsia="微软雅黑"/>
          <w:szCs w:val="21"/>
          <w:u w:val="single"/>
        </w:rPr>
        <w:t xml:space="preserve">北国商城股份有限公司 </w:t>
      </w:r>
      <w:r>
        <w:rPr>
          <w:rFonts w:hint="eastAsia" w:ascii="微软雅黑" w:hAnsi="微软雅黑" w:eastAsia="微软雅黑"/>
          <w:szCs w:val="21"/>
        </w:rPr>
        <w:t>招标活动，全权处理我方在投标活动中的一切事宜。</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ordWrap w:val="0"/>
        <w:spacing w:line="360" w:lineRule="auto"/>
        <w:ind w:right="780"/>
        <w:jc w:val="center"/>
        <w:rPr>
          <w:rFonts w:ascii="微软雅黑" w:hAnsi="微软雅黑" w:eastAsia="微软雅黑"/>
          <w:szCs w:val="21"/>
        </w:rPr>
      </w:pPr>
      <w:r>
        <w:rPr>
          <w:rFonts w:hint="eastAsia" w:ascii="微软雅黑" w:hAnsi="微软雅黑" w:eastAsia="微软雅黑"/>
          <w:szCs w:val="21"/>
        </w:rPr>
        <w:t xml:space="preserve">                                                        法定代表人（签字）：</w:t>
      </w:r>
    </w:p>
    <w:p>
      <w:pPr>
        <w:wordWrap w:val="0"/>
        <w:spacing w:line="360" w:lineRule="auto"/>
        <w:ind w:right="780"/>
        <w:jc w:val="center"/>
        <w:rPr>
          <w:rFonts w:ascii="微软雅黑" w:hAnsi="微软雅黑" w:eastAsia="微软雅黑"/>
          <w:szCs w:val="21"/>
        </w:rPr>
      </w:pPr>
      <w:r>
        <w:rPr>
          <w:rFonts w:hint="eastAsia" w:ascii="微软雅黑" w:hAnsi="微软雅黑" w:eastAsia="微软雅黑"/>
          <w:szCs w:val="21"/>
        </w:rPr>
        <w:t xml:space="preserve">                                                        投标人名称（盖章）：</w:t>
      </w: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日期：</w:t>
      </w:r>
    </w:p>
    <w:p>
      <w:pPr>
        <w:spacing w:line="360" w:lineRule="auto"/>
        <w:jc w:val="right"/>
        <w:rPr>
          <w:rFonts w:ascii="微软雅黑" w:hAnsi="微软雅黑" w:eastAsia="微软雅黑"/>
          <w:szCs w:val="21"/>
        </w:rPr>
      </w:pPr>
    </w:p>
    <w:p>
      <w:pPr>
        <w:spacing w:line="360" w:lineRule="auto"/>
        <w:jc w:val="right"/>
        <w:rPr>
          <w:rFonts w:ascii="微软雅黑" w:hAnsi="微软雅黑" w:eastAsia="微软雅黑"/>
          <w:szCs w:val="21"/>
        </w:rPr>
      </w:pPr>
    </w:p>
    <w:p>
      <w:pPr>
        <w:wordWrap w:val="0"/>
        <w:spacing w:line="360" w:lineRule="auto"/>
        <w:ind w:right="900"/>
        <w:rPr>
          <w:rFonts w:ascii="微软雅黑" w:hAnsi="微软雅黑" w:eastAsia="微软雅黑"/>
          <w:szCs w:val="21"/>
        </w:rPr>
      </w:pPr>
      <w:r>
        <w:rPr>
          <w:rFonts w:hint="eastAsia" w:ascii="微软雅黑" w:hAnsi="微软雅黑" w:eastAsia="微软雅黑"/>
          <w:szCs w:val="21"/>
        </w:rPr>
        <w:t xml:space="preserve">                                                              全权代表（签字）：</w:t>
      </w: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日期：</w:t>
      </w:r>
    </w:p>
    <w:p>
      <w:pPr>
        <w:rPr>
          <w:rFonts w:hint="eastAsia" w:ascii="微软雅黑" w:hAnsi="微软雅黑" w:eastAsia="微软雅黑"/>
          <w:szCs w:val="21"/>
        </w:rPr>
      </w:pPr>
    </w:p>
    <w:p>
      <w:pPr>
        <w:pStyle w:val="2"/>
        <w:rPr>
          <w:rFonts w:ascii="微软雅黑" w:hAnsi="微软雅黑" w:eastAsia="微软雅黑"/>
          <w:sz w:val="28"/>
          <w:szCs w:val="28"/>
        </w:rPr>
      </w:pPr>
      <w:bookmarkStart w:id="139" w:name="_Toc526784186"/>
      <w:bookmarkStart w:id="140" w:name="_Toc527105197"/>
      <w:bookmarkStart w:id="141" w:name="_Toc374704131"/>
      <w:bookmarkStart w:id="142" w:name="_Toc7906"/>
      <w:bookmarkStart w:id="143" w:name="_Toc516486671"/>
      <w:r>
        <w:rPr>
          <w:rFonts w:hint="eastAsia" w:ascii="微软雅黑" w:hAnsi="微软雅黑" w:eastAsia="微软雅黑"/>
          <w:sz w:val="28"/>
          <w:szCs w:val="28"/>
        </w:rPr>
        <w:t>5.2.7</w:t>
      </w:r>
      <w:r>
        <w:rPr>
          <w:rFonts w:ascii="微软雅黑" w:hAnsi="微软雅黑" w:eastAsia="微软雅黑"/>
          <w:sz w:val="28"/>
          <w:szCs w:val="28"/>
        </w:rPr>
        <w:t>廉政须知回执</w:t>
      </w:r>
      <w:r>
        <w:rPr>
          <w:rFonts w:hint="eastAsia" w:ascii="微软雅黑" w:hAnsi="微软雅黑" w:eastAsia="微软雅黑"/>
          <w:sz w:val="28"/>
          <w:szCs w:val="28"/>
        </w:rPr>
        <w:t>（规范</w:t>
      </w:r>
      <w:r>
        <w:rPr>
          <w:rFonts w:ascii="微软雅黑" w:hAnsi="微软雅黑" w:eastAsia="微软雅黑"/>
          <w:sz w:val="28"/>
          <w:szCs w:val="28"/>
        </w:rPr>
        <w:t>）</w:t>
      </w:r>
      <w:bookmarkEnd w:id="139"/>
      <w:bookmarkEnd w:id="140"/>
      <w:bookmarkEnd w:id="141"/>
      <w:bookmarkEnd w:id="142"/>
      <w:bookmarkEnd w:id="143"/>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廉 正 须 知</w:t>
      </w: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合作单位在参加投标时，应向招标工作人员领取《廉正须知》，并将回执签字、盖章后送达招标工作人员。</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合作单位在提交投标文件之前或提交投标文件时未提交《廉正协议》的，招标工作人员将其按照废标处理。《廉正须知》、《廉正协议》是集团及地区公司付款类合同的强制附件。</w:t>
      </w:r>
    </w:p>
    <w:p>
      <w:pPr>
        <w:spacing w:line="360" w:lineRule="auto"/>
        <w:rPr>
          <w:rFonts w:hint="eastAsia"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本集团及地区公司欢迎供应商进行举报，鼓励实名举报，对举报人予以保密。经集团审计监察部查证属实的，将给举报人以优先给予合作机会或物质奖励。</w:t>
      </w:r>
    </w:p>
    <w:p>
      <w:pPr>
        <w:widowControl/>
        <w:spacing w:line="360" w:lineRule="auto"/>
        <w:jc w:val="center"/>
        <w:rPr>
          <w:rFonts w:ascii="微软雅黑" w:hAnsi="微软雅黑" w:eastAsia="微软雅黑"/>
          <w:b/>
          <w:szCs w:val="21"/>
        </w:rPr>
      </w:pPr>
    </w:p>
    <w:p>
      <w:pPr>
        <w:widowControl/>
        <w:spacing w:line="360" w:lineRule="auto"/>
        <w:jc w:val="center"/>
        <w:rPr>
          <w:rFonts w:ascii="微软雅黑" w:hAnsi="微软雅黑" w:eastAsia="微软雅黑"/>
          <w:b/>
          <w:szCs w:val="21"/>
        </w:rPr>
      </w:pPr>
      <w:r>
        <w:rPr>
          <w:rFonts w:ascii="微软雅黑" w:hAnsi="微软雅黑" w:eastAsia="微软雅黑"/>
          <w:szCs w:val="21"/>
        </w:rPr>
        <mc:AlternateContent>
          <mc:Choice Requires="wps">
            <w:drawing>
              <wp:anchor distT="0" distB="0" distL="114300" distR="114300" simplePos="0" relativeHeight="251659264" behindDoc="0" locked="0" layoutInCell="1" allowOverlap="1">
                <wp:simplePos x="0" y="0"/>
                <wp:positionH relativeFrom="column">
                  <wp:posOffset>-693420</wp:posOffset>
                </wp:positionH>
                <wp:positionV relativeFrom="paragraph">
                  <wp:posOffset>24130</wp:posOffset>
                </wp:positionV>
                <wp:extent cx="7848600" cy="0"/>
                <wp:effectExtent l="0" t="0" r="0" b="0"/>
                <wp:wrapNone/>
                <wp:docPr id="1026" name="AutoShape 3"/>
                <wp:cNvGraphicFramePr/>
                <a:graphic xmlns:a="http://schemas.openxmlformats.org/drawingml/2006/main">
                  <a:graphicData uri="http://schemas.microsoft.com/office/word/2010/wordprocessingShape">
                    <wps:wsp>
                      <wps:cNvCnPr/>
                      <wps:spPr>
                        <a:xfrm>
                          <a:off x="0" y="0"/>
                          <a:ext cx="7848599" cy="0"/>
                        </a:xfrm>
                        <a:prstGeom prst="straightConnector1">
                          <a:avLst/>
                        </a:prstGeom>
                        <a:ln w="9525" cap="flat" cmpd="sng">
                          <a:solidFill>
                            <a:srgbClr val="000000"/>
                          </a:solidFill>
                          <a:prstDash val="dash"/>
                          <a:round/>
                          <a:headEnd type="none" w="med" len="med"/>
                          <a:tailEnd type="none" w="med" len="med"/>
                        </a:ln>
                        <a:effectLst/>
                      </wps:spPr>
                      <wps:bodyPr/>
                    </wps:wsp>
                  </a:graphicData>
                </a:graphic>
              </wp:anchor>
            </w:drawing>
          </mc:Choice>
          <mc:Fallback>
            <w:pict>
              <v:shape id="AutoShape 3" o:spid="_x0000_s1026" o:spt="32" type="#_x0000_t32" style="position:absolute;left:0pt;margin-left:-54.6pt;margin-top:1.9pt;height:0pt;width:618pt;z-index:251659264;mso-width-relative:page;mso-height-relative:page;" filled="f" stroked="t" coordsize="21600,21600" o:gfxdata="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t&#10;3lCm1wAAAAkBAAAPAAAAAAAAAAEAIAAAACIAAABkcnMvZG93bnJldi54bWxQSwECFAAUAAAACACH&#10;TuJAJ1e4cOwBAAD6AwAADgAAAAAAAAABACAAAAAmAQAAZHJzL2Uyb0RvYy54bWxQSwUGAAAAAAYA&#10;BgBZAQAAhAUAAAAA&#10;">
                <v:fill on="f" focussize="0,0"/>
                <v:stroke color="#000000" joinstyle="round" dashstyle="dash"/>
                <v:imagedata o:title=""/>
                <o:lock v:ext="edit" aspectratio="f"/>
              </v:shape>
            </w:pict>
          </mc:Fallback>
        </mc:AlternateContent>
      </w:r>
    </w:p>
    <w:p>
      <w:pPr>
        <w:widowControl/>
        <w:spacing w:line="360" w:lineRule="auto"/>
        <w:jc w:val="center"/>
        <w:rPr>
          <w:rFonts w:ascii="微软雅黑" w:hAnsi="微软雅黑" w:eastAsia="微软雅黑"/>
          <w:b/>
          <w:szCs w:val="21"/>
        </w:rPr>
      </w:pPr>
      <w:r>
        <w:rPr>
          <w:rFonts w:hint="eastAsia" w:ascii="微软雅黑" w:hAnsi="微软雅黑" w:eastAsia="微软雅黑"/>
          <w:b/>
          <w:szCs w:val="21"/>
        </w:rPr>
        <w:t>回 执</w:t>
      </w:r>
    </w:p>
    <w:p>
      <w:pPr>
        <w:spacing w:line="360" w:lineRule="auto"/>
        <w:ind w:firstLine="420"/>
        <w:rPr>
          <w:rFonts w:ascii="微软雅黑" w:hAnsi="微软雅黑" w:eastAsia="微软雅黑"/>
          <w:szCs w:val="21"/>
        </w:rPr>
      </w:pPr>
      <w:r>
        <w:rPr>
          <w:rFonts w:hint="eastAsia" w:ascii="微软雅黑" w:hAnsi="微软雅黑" w:eastAsia="微软雅黑"/>
          <w:szCs w:val="21"/>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szCs w:val="21"/>
        </w:rPr>
      </w:pPr>
      <w:r>
        <w:rPr>
          <w:rFonts w:hint="eastAsia" w:ascii="微软雅黑" w:hAnsi="微软雅黑" w:eastAsia="微软雅黑"/>
          <w:szCs w:val="21"/>
        </w:rPr>
        <w:t xml:space="preserve">           收件人（公章）：</w:t>
      </w:r>
    </w:p>
    <w:p>
      <w:pPr>
        <w:wordWrap w:val="0"/>
        <w:spacing w:line="360" w:lineRule="auto"/>
        <w:ind w:right="480"/>
        <w:jc w:val="center"/>
        <w:rPr>
          <w:rFonts w:ascii="微软雅黑" w:hAnsi="微软雅黑" w:eastAsia="微软雅黑"/>
          <w:szCs w:val="21"/>
        </w:rPr>
      </w:pPr>
      <w:r>
        <w:rPr>
          <w:rFonts w:hint="eastAsia" w:ascii="微软雅黑" w:hAnsi="微软雅黑" w:eastAsia="微软雅黑"/>
          <w:szCs w:val="21"/>
        </w:rPr>
        <w:t xml:space="preserve">                                                       代 表 人：</w:t>
      </w:r>
    </w:p>
    <w:p>
      <w:pPr>
        <w:rPr>
          <w:rFonts w:ascii="微软雅黑" w:hAnsi="微软雅黑" w:eastAsia="微软雅黑"/>
          <w:szCs w:val="21"/>
        </w:rPr>
      </w:pPr>
      <w:r>
        <w:rPr>
          <w:rFonts w:hint="eastAsia" w:ascii="微软雅黑" w:hAnsi="微软雅黑" w:eastAsia="微软雅黑"/>
          <w:szCs w:val="21"/>
        </w:rPr>
        <w:t xml:space="preserve">                                                           日期:   年   月   日</w:t>
      </w:r>
    </w:p>
    <w:p>
      <w:pPr>
        <w:rPr>
          <w:rFonts w:ascii="微软雅黑" w:hAnsi="微软雅黑" w:eastAsia="微软雅黑"/>
          <w:szCs w:val="21"/>
        </w:rPr>
      </w:pPr>
    </w:p>
    <w:p>
      <w:pPr>
        <w:pStyle w:val="2"/>
        <w:rPr>
          <w:rFonts w:ascii="微软雅黑" w:hAnsi="微软雅黑" w:eastAsia="微软雅黑"/>
          <w:sz w:val="28"/>
          <w:szCs w:val="28"/>
        </w:rPr>
      </w:pPr>
      <w:bookmarkStart w:id="144" w:name="_Toc526784187"/>
      <w:bookmarkStart w:id="145" w:name="_Toc4316"/>
      <w:bookmarkStart w:id="146" w:name="_Toc527105198"/>
      <w:bookmarkStart w:id="147" w:name="_Toc516486672"/>
      <w:bookmarkStart w:id="148" w:name="_Toc374704133"/>
      <w:r>
        <w:rPr>
          <w:rFonts w:hint="eastAsia" w:ascii="微软雅黑" w:hAnsi="微软雅黑" w:eastAsia="微软雅黑"/>
          <w:sz w:val="28"/>
          <w:szCs w:val="28"/>
          <w:highlight w:val="yellow"/>
        </w:rPr>
        <w:t>5.2.8分项价格表（规范</w:t>
      </w:r>
      <w:r>
        <w:rPr>
          <w:rFonts w:ascii="微软雅黑" w:hAnsi="微软雅黑" w:eastAsia="微软雅黑"/>
          <w:sz w:val="28"/>
          <w:szCs w:val="28"/>
          <w:highlight w:val="yellow"/>
        </w:rPr>
        <w:t>）</w:t>
      </w:r>
      <w:bookmarkEnd w:id="144"/>
      <w:bookmarkEnd w:id="145"/>
      <w:bookmarkEnd w:id="146"/>
      <w:bookmarkEnd w:id="147"/>
      <w:bookmarkEnd w:id="148"/>
    </w:p>
    <w:p>
      <w:pPr>
        <w:spacing w:line="360" w:lineRule="auto"/>
        <w:jc w:val="center"/>
        <w:rPr>
          <w:rFonts w:ascii="微软雅黑" w:hAnsi="微软雅黑" w:eastAsia="微软雅黑"/>
          <w:b/>
          <w:szCs w:val="21"/>
        </w:rPr>
      </w:pPr>
      <w:r>
        <w:rPr>
          <w:rFonts w:hint="eastAsia" w:ascii="微软雅黑" w:hAnsi="微软雅黑" w:eastAsia="微软雅黑"/>
          <w:b/>
          <w:szCs w:val="21"/>
        </w:rPr>
        <w:t>分项</w:t>
      </w:r>
      <w:r>
        <w:rPr>
          <w:rFonts w:ascii="微软雅黑" w:hAnsi="微软雅黑" w:eastAsia="微软雅黑"/>
          <w:b/>
          <w:szCs w:val="21"/>
        </w:rPr>
        <w:t>价格表</w:t>
      </w:r>
    </w:p>
    <w:tbl>
      <w:tblPr>
        <w:tblStyle w:val="14"/>
        <w:tblW w:w="103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54"/>
        <w:gridCol w:w="1788"/>
        <w:gridCol w:w="1985"/>
        <w:gridCol w:w="1650"/>
        <w:gridCol w:w="51"/>
        <w:gridCol w:w="1734"/>
        <w:gridCol w:w="354"/>
        <w:gridCol w:w="1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343" w:type="dxa"/>
            <w:gridSpan w:val="9"/>
            <w:shd w:val="clear" w:color="auto" w:fill="A6A6A6"/>
          </w:tcPr>
          <w:p>
            <w:pPr>
              <w:spacing w:line="0" w:lineRule="atLeast"/>
              <w:rPr>
                <w:rFonts w:ascii="微软雅黑" w:hAnsi="微软雅黑" w:eastAsia="微软雅黑"/>
                <w:b/>
                <w:szCs w:val="21"/>
              </w:rPr>
            </w:pPr>
            <w:r>
              <w:rPr>
                <w:rFonts w:hint="eastAsia" w:ascii="微软雅黑" w:hAnsi="微软雅黑" w:eastAsia="微软雅黑"/>
                <w:b/>
                <w:szCs w:val="21"/>
              </w:rPr>
              <w:t>项目实施报价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397" w:type="dxa"/>
            <w:gridSpan w:val="3"/>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产品实施名称</w:t>
            </w:r>
          </w:p>
        </w:tc>
        <w:tc>
          <w:tcPr>
            <w:tcW w:w="1985"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单价</w:t>
            </w:r>
          </w:p>
        </w:tc>
        <w:tc>
          <w:tcPr>
            <w:tcW w:w="1650"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优惠折扣</w:t>
            </w:r>
          </w:p>
        </w:tc>
        <w:tc>
          <w:tcPr>
            <w:tcW w:w="1785"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总价</w:t>
            </w:r>
          </w:p>
        </w:tc>
        <w:tc>
          <w:tcPr>
            <w:tcW w:w="1526"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397" w:type="dxa"/>
            <w:gridSpan w:val="3"/>
            <w:vAlign w:val="center"/>
          </w:tcPr>
          <w:p>
            <w:pPr>
              <w:spacing w:line="0" w:lineRule="atLeast"/>
              <w:rPr>
                <w:rFonts w:ascii="微软雅黑" w:hAnsi="微软雅黑" w:eastAsia="微软雅黑"/>
                <w:szCs w:val="21"/>
              </w:rPr>
            </w:pPr>
          </w:p>
        </w:tc>
        <w:tc>
          <w:tcPr>
            <w:tcW w:w="1985" w:type="dxa"/>
            <w:vAlign w:val="center"/>
          </w:tcPr>
          <w:p>
            <w:pPr>
              <w:spacing w:line="0" w:lineRule="atLeast"/>
              <w:rPr>
                <w:rFonts w:ascii="微软雅黑" w:hAnsi="微软雅黑" w:eastAsia="微软雅黑"/>
                <w:szCs w:val="21"/>
              </w:rPr>
            </w:pPr>
          </w:p>
        </w:tc>
        <w:tc>
          <w:tcPr>
            <w:tcW w:w="1650" w:type="dxa"/>
            <w:vAlign w:val="center"/>
          </w:tcPr>
          <w:p>
            <w:pPr>
              <w:spacing w:line="0" w:lineRule="atLeast"/>
              <w:rPr>
                <w:rFonts w:ascii="微软雅黑" w:hAnsi="微软雅黑" w:eastAsia="微软雅黑"/>
                <w:szCs w:val="21"/>
              </w:rPr>
            </w:pPr>
          </w:p>
        </w:tc>
        <w:tc>
          <w:tcPr>
            <w:tcW w:w="1785" w:type="dxa"/>
            <w:gridSpan w:val="2"/>
            <w:vAlign w:val="center"/>
          </w:tcPr>
          <w:p>
            <w:pPr>
              <w:spacing w:line="0" w:lineRule="atLeast"/>
              <w:rPr>
                <w:rFonts w:ascii="微软雅黑" w:hAnsi="微软雅黑" w:eastAsia="微软雅黑"/>
                <w:szCs w:val="21"/>
              </w:rPr>
            </w:pPr>
          </w:p>
        </w:tc>
        <w:tc>
          <w:tcPr>
            <w:tcW w:w="1526" w:type="dxa"/>
            <w:gridSpan w:val="2"/>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397" w:type="dxa"/>
            <w:gridSpan w:val="3"/>
            <w:vAlign w:val="center"/>
          </w:tcPr>
          <w:p>
            <w:pPr>
              <w:spacing w:line="0" w:lineRule="atLeast"/>
              <w:rPr>
                <w:rFonts w:ascii="微软雅黑" w:hAnsi="微软雅黑" w:eastAsia="微软雅黑"/>
                <w:szCs w:val="21"/>
                <w:highlight w:val="yellow"/>
              </w:rPr>
            </w:pPr>
          </w:p>
        </w:tc>
        <w:tc>
          <w:tcPr>
            <w:tcW w:w="1985" w:type="dxa"/>
            <w:vAlign w:val="center"/>
          </w:tcPr>
          <w:p>
            <w:pPr>
              <w:spacing w:line="0" w:lineRule="atLeast"/>
              <w:rPr>
                <w:rFonts w:ascii="微软雅黑" w:hAnsi="微软雅黑" w:eastAsia="微软雅黑"/>
                <w:szCs w:val="21"/>
              </w:rPr>
            </w:pPr>
          </w:p>
        </w:tc>
        <w:tc>
          <w:tcPr>
            <w:tcW w:w="1650" w:type="dxa"/>
            <w:vAlign w:val="center"/>
          </w:tcPr>
          <w:p>
            <w:pPr>
              <w:spacing w:line="0" w:lineRule="atLeast"/>
              <w:rPr>
                <w:rFonts w:ascii="微软雅黑" w:hAnsi="微软雅黑" w:eastAsia="微软雅黑"/>
                <w:szCs w:val="21"/>
              </w:rPr>
            </w:pPr>
          </w:p>
        </w:tc>
        <w:tc>
          <w:tcPr>
            <w:tcW w:w="1785" w:type="dxa"/>
            <w:gridSpan w:val="2"/>
            <w:vAlign w:val="center"/>
          </w:tcPr>
          <w:p>
            <w:pPr>
              <w:spacing w:line="0" w:lineRule="atLeast"/>
              <w:rPr>
                <w:rFonts w:ascii="微软雅黑" w:hAnsi="微软雅黑" w:eastAsia="微软雅黑"/>
                <w:szCs w:val="21"/>
              </w:rPr>
            </w:pPr>
          </w:p>
        </w:tc>
        <w:tc>
          <w:tcPr>
            <w:tcW w:w="1526" w:type="dxa"/>
            <w:gridSpan w:val="2"/>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3397" w:type="dxa"/>
            <w:gridSpan w:val="3"/>
            <w:vAlign w:val="center"/>
          </w:tcPr>
          <w:p>
            <w:pPr>
              <w:spacing w:line="0" w:lineRule="atLeast"/>
              <w:rPr>
                <w:rFonts w:ascii="微软雅黑" w:hAnsi="微软雅黑" w:eastAsia="微软雅黑"/>
                <w:szCs w:val="21"/>
                <w:highlight w:val="yellow"/>
              </w:rPr>
            </w:pPr>
          </w:p>
        </w:tc>
        <w:tc>
          <w:tcPr>
            <w:tcW w:w="1985" w:type="dxa"/>
            <w:vAlign w:val="center"/>
          </w:tcPr>
          <w:p>
            <w:pPr>
              <w:spacing w:line="0" w:lineRule="atLeast"/>
              <w:rPr>
                <w:rFonts w:ascii="微软雅黑" w:hAnsi="微软雅黑" w:eastAsia="微软雅黑"/>
                <w:szCs w:val="21"/>
              </w:rPr>
            </w:pPr>
          </w:p>
        </w:tc>
        <w:tc>
          <w:tcPr>
            <w:tcW w:w="1650" w:type="dxa"/>
            <w:vAlign w:val="center"/>
          </w:tcPr>
          <w:p>
            <w:pPr>
              <w:spacing w:line="0" w:lineRule="atLeast"/>
              <w:rPr>
                <w:rFonts w:ascii="微软雅黑" w:hAnsi="微软雅黑" w:eastAsia="微软雅黑"/>
                <w:szCs w:val="21"/>
              </w:rPr>
            </w:pPr>
          </w:p>
        </w:tc>
        <w:tc>
          <w:tcPr>
            <w:tcW w:w="1785" w:type="dxa"/>
            <w:gridSpan w:val="2"/>
            <w:vAlign w:val="center"/>
          </w:tcPr>
          <w:p>
            <w:pPr>
              <w:spacing w:line="0" w:lineRule="atLeast"/>
              <w:rPr>
                <w:rFonts w:ascii="微软雅黑" w:hAnsi="微软雅黑" w:eastAsia="微软雅黑"/>
                <w:szCs w:val="21"/>
              </w:rPr>
            </w:pPr>
          </w:p>
        </w:tc>
        <w:tc>
          <w:tcPr>
            <w:tcW w:w="1526" w:type="dxa"/>
            <w:gridSpan w:val="2"/>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609" w:type="dxa"/>
            <w:gridSpan w:val="2"/>
            <w:vAlign w:val="center"/>
          </w:tcPr>
          <w:p>
            <w:pPr>
              <w:spacing w:line="0" w:lineRule="atLeast"/>
              <w:rPr>
                <w:rFonts w:ascii="微软雅黑" w:hAnsi="微软雅黑" w:eastAsia="微软雅黑"/>
                <w:szCs w:val="21"/>
                <w:highlight w:val="yellow"/>
              </w:rPr>
            </w:pPr>
          </w:p>
        </w:tc>
        <w:tc>
          <w:tcPr>
            <w:tcW w:w="1788" w:type="dxa"/>
          </w:tcPr>
          <w:p>
            <w:pPr>
              <w:spacing w:line="0" w:lineRule="atLeast"/>
              <w:rPr>
                <w:rFonts w:ascii="微软雅黑" w:hAnsi="微软雅黑" w:eastAsia="微软雅黑"/>
                <w:szCs w:val="21"/>
              </w:rPr>
            </w:pPr>
          </w:p>
        </w:tc>
        <w:tc>
          <w:tcPr>
            <w:tcW w:w="1985" w:type="dxa"/>
            <w:vAlign w:val="center"/>
          </w:tcPr>
          <w:p>
            <w:pPr>
              <w:spacing w:line="0" w:lineRule="atLeast"/>
              <w:rPr>
                <w:rFonts w:ascii="微软雅黑" w:hAnsi="微软雅黑" w:eastAsia="微软雅黑"/>
                <w:szCs w:val="21"/>
              </w:rPr>
            </w:pPr>
          </w:p>
        </w:tc>
        <w:tc>
          <w:tcPr>
            <w:tcW w:w="1650" w:type="dxa"/>
            <w:vAlign w:val="center"/>
          </w:tcPr>
          <w:p>
            <w:pPr>
              <w:spacing w:line="0" w:lineRule="atLeast"/>
              <w:rPr>
                <w:rFonts w:ascii="微软雅黑" w:hAnsi="微软雅黑" w:eastAsia="微软雅黑"/>
                <w:szCs w:val="21"/>
              </w:rPr>
            </w:pPr>
          </w:p>
        </w:tc>
        <w:tc>
          <w:tcPr>
            <w:tcW w:w="1785" w:type="dxa"/>
            <w:gridSpan w:val="2"/>
            <w:vAlign w:val="center"/>
          </w:tcPr>
          <w:p>
            <w:pPr>
              <w:spacing w:line="0" w:lineRule="atLeast"/>
              <w:rPr>
                <w:rFonts w:ascii="微软雅黑" w:hAnsi="微软雅黑" w:eastAsia="微软雅黑"/>
                <w:szCs w:val="21"/>
              </w:rPr>
            </w:pPr>
          </w:p>
        </w:tc>
        <w:tc>
          <w:tcPr>
            <w:tcW w:w="1526" w:type="dxa"/>
            <w:gridSpan w:val="2"/>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82" w:type="dxa"/>
            <w:gridSpan w:val="4"/>
            <w:shd w:val="clear" w:color="auto" w:fill="FFFFFF"/>
          </w:tcPr>
          <w:p>
            <w:pPr>
              <w:spacing w:line="0" w:lineRule="atLeast"/>
              <w:rPr>
                <w:rFonts w:ascii="微软雅黑" w:hAnsi="微软雅黑" w:eastAsia="微软雅黑"/>
                <w:szCs w:val="21"/>
              </w:rPr>
            </w:pPr>
            <w:r>
              <w:rPr>
                <w:rFonts w:hint="eastAsia" w:ascii="微软雅黑" w:hAnsi="微软雅黑" w:eastAsia="微软雅黑"/>
                <w:szCs w:val="21"/>
              </w:rPr>
              <w:t>合计</w:t>
            </w:r>
          </w:p>
        </w:tc>
        <w:tc>
          <w:tcPr>
            <w:tcW w:w="4961" w:type="dxa"/>
            <w:gridSpan w:val="5"/>
            <w:shd w:val="clear" w:color="auto" w:fill="FFFFFF"/>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0343" w:type="dxa"/>
            <w:gridSpan w:val="9"/>
            <w:shd w:val="clear" w:color="auto" w:fill="A6A6A6"/>
          </w:tcPr>
          <w:p>
            <w:pPr>
              <w:spacing w:line="0" w:lineRule="atLeast"/>
              <w:rPr>
                <w:rFonts w:ascii="微软雅黑" w:hAnsi="微软雅黑" w:eastAsia="微软雅黑"/>
                <w:b/>
                <w:szCs w:val="21"/>
              </w:rPr>
            </w:pPr>
            <w:r>
              <w:rPr>
                <w:rFonts w:hint="eastAsia" w:ascii="微软雅黑" w:hAnsi="微软雅黑" w:eastAsia="微软雅黑"/>
                <w:b/>
                <w:szCs w:val="21"/>
              </w:rPr>
              <w:t>年服务维护费用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55"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维护周期</w:t>
            </w:r>
          </w:p>
        </w:tc>
        <w:tc>
          <w:tcPr>
            <w:tcW w:w="3827" w:type="dxa"/>
            <w:gridSpan w:val="3"/>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维护内容</w:t>
            </w:r>
          </w:p>
        </w:tc>
        <w:tc>
          <w:tcPr>
            <w:tcW w:w="1701"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费用</w:t>
            </w:r>
          </w:p>
        </w:tc>
        <w:tc>
          <w:tcPr>
            <w:tcW w:w="2088" w:type="dxa"/>
            <w:gridSpan w:val="2"/>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维护选择</w:t>
            </w:r>
          </w:p>
        </w:tc>
        <w:tc>
          <w:tcPr>
            <w:tcW w:w="1172" w:type="dxa"/>
            <w:shd w:val="clear" w:color="auto" w:fill="A6A6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555" w:type="dxa"/>
            <w:shd w:val="clear" w:color="auto" w:fill="FFFFFF"/>
            <w:vAlign w:val="center"/>
          </w:tcPr>
          <w:p>
            <w:pPr>
              <w:spacing w:line="0" w:lineRule="atLeast"/>
              <w:rPr>
                <w:rFonts w:ascii="微软雅黑" w:hAnsi="微软雅黑" w:eastAsia="微软雅黑"/>
                <w:szCs w:val="21"/>
              </w:rPr>
            </w:pPr>
          </w:p>
        </w:tc>
        <w:tc>
          <w:tcPr>
            <w:tcW w:w="3827" w:type="dxa"/>
            <w:gridSpan w:val="3"/>
            <w:shd w:val="clear" w:color="auto" w:fill="FFFFFF"/>
            <w:vAlign w:val="center"/>
          </w:tcPr>
          <w:p>
            <w:pPr>
              <w:spacing w:line="0" w:lineRule="atLeast"/>
              <w:rPr>
                <w:rFonts w:ascii="微软雅黑" w:hAnsi="微软雅黑" w:eastAsia="微软雅黑"/>
                <w:szCs w:val="21"/>
              </w:rPr>
            </w:pPr>
          </w:p>
        </w:tc>
        <w:tc>
          <w:tcPr>
            <w:tcW w:w="1701" w:type="dxa"/>
            <w:gridSpan w:val="2"/>
            <w:shd w:val="clear" w:color="auto" w:fill="FFFFFF"/>
            <w:vAlign w:val="center"/>
          </w:tcPr>
          <w:p>
            <w:pPr>
              <w:spacing w:line="0" w:lineRule="atLeast"/>
              <w:rPr>
                <w:rFonts w:ascii="微软雅黑" w:hAnsi="微软雅黑" w:eastAsia="微软雅黑"/>
                <w:szCs w:val="21"/>
              </w:rPr>
            </w:pPr>
          </w:p>
        </w:tc>
        <w:tc>
          <w:tcPr>
            <w:tcW w:w="2088" w:type="dxa"/>
            <w:gridSpan w:val="2"/>
            <w:shd w:val="clear" w:color="auto" w:fill="FFFFFF"/>
            <w:vAlign w:val="center"/>
          </w:tcPr>
          <w:p>
            <w:pPr>
              <w:spacing w:line="0" w:lineRule="atLeast"/>
              <w:rPr>
                <w:rFonts w:ascii="微软雅黑" w:hAnsi="微软雅黑" w:eastAsia="微软雅黑"/>
                <w:szCs w:val="21"/>
              </w:rPr>
            </w:pPr>
          </w:p>
        </w:tc>
        <w:tc>
          <w:tcPr>
            <w:tcW w:w="1172" w:type="dxa"/>
            <w:shd w:val="clear" w:color="auto" w:fill="FFFFFF"/>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5382" w:type="dxa"/>
            <w:gridSpan w:val="4"/>
            <w:shd w:val="clear" w:color="auto" w:fill="FFFFFF"/>
          </w:tcPr>
          <w:p>
            <w:pPr>
              <w:spacing w:line="0" w:lineRule="atLeast"/>
              <w:rPr>
                <w:rFonts w:ascii="微软雅黑" w:hAnsi="微软雅黑" w:eastAsia="微软雅黑"/>
                <w:szCs w:val="21"/>
              </w:rPr>
            </w:pPr>
            <w:r>
              <w:rPr>
                <w:rFonts w:hint="eastAsia" w:ascii="微软雅黑" w:hAnsi="微软雅黑" w:eastAsia="微软雅黑"/>
                <w:szCs w:val="21"/>
              </w:rPr>
              <w:t>合计</w:t>
            </w:r>
          </w:p>
        </w:tc>
        <w:tc>
          <w:tcPr>
            <w:tcW w:w="4961" w:type="dxa"/>
            <w:gridSpan w:val="5"/>
            <w:shd w:val="clear" w:color="auto" w:fill="FFFFFF"/>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09" w:type="dxa"/>
            <w:gridSpan w:val="2"/>
            <w:vAlign w:val="center"/>
          </w:tcPr>
          <w:p>
            <w:pPr>
              <w:spacing w:line="0" w:lineRule="atLeast"/>
              <w:rPr>
                <w:rFonts w:ascii="微软雅黑" w:hAnsi="微软雅黑" w:eastAsia="微软雅黑"/>
                <w:szCs w:val="21"/>
              </w:rPr>
            </w:pPr>
            <w:r>
              <w:rPr>
                <w:rFonts w:hint="eastAsia" w:ascii="微软雅黑" w:hAnsi="微软雅黑" w:eastAsia="微软雅黑"/>
                <w:szCs w:val="21"/>
              </w:rPr>
              <w:t>其它</w:t>
            </w:r>
          </w:p>
          <w:p>
            <w:pPr>
              <w:spacing w:line="0" w:lineRule="atLeast"/>
              <w:rPr>
                <w:rFonts w:ascii="微软雅黑" w:hAnsi="微软雅黑" w:eastAsia="微软雅黑"/>
                <w:szCs w:val="21"/>
              </w:rPr>
            </w:pPr>
            <w:r>
              <w:rPr>
                <w:rFonts w:hint="eastAsia" w:ascii="微软雅黑" w:hAnsi="微软雅黑" w:eastAsia="微软雅黑"/>
                <w:szCs w:val="21"/>
              </w:rPr>
              <w:t>（请注明，</w:t>
            </w:r>
            <w:r>
              <w:rPr>
                <w:rFonts w:ascii="微软雅黑" w:hAnsi="微软雅黑" w:eastAsia="微软雅黑"/>
                <w:szCs w:val="21"/>
              </w:rPr>
              <w:t>可添加</w:t>
            </w:r>
            <w:r>
              <w:rPr>
                <w:rFonts w:hint="eastAsia" w:ascii="微软雅黑" w:hAnsi="微软雅黑" w:eastAsia="微软雅黑"/>
                <w:szCs w:val="21"/>
              </w:rPr>
              <w:t>）</w:t>
            </w:r>
          </w:p>
        </w:tc>
        <w:tc>
          <w:tcPr>
            <w:tcW w:w="1788" w:type="dxa"/>
          </w:tcPr>
          <w:p>
            <w:pPr>
              <w:spacing w:line="0" w:lineRule="atLeast"/>
              <w:rPr>
                <w:rFonts w:ascii="微软雅黑" w:hAnsi="微软雅黑" w:eastAsia="微软雅黑"/>
                <w:szCs w:val="21"/>
              </w:rPr>
            </w:pPr>
          </w:p>
        </w:tc>
        <w:tc>
          <w:tcPr>
            <w:tcW w:w="6946" w:type="dxa"/>
            <w:gridSpan w:val="6"/>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09" w:type="dxa"/>
            <w:gridSpan w:val="2"/>
            <w:shd w:val="clear" w:color="auto" w:fill="F2F2F2"/>
            <w:vAlign w:val="center"/>
          </w:tcPr>
          <w:p>
            <w:pPr>
              <w:spacing w:line="0" w:lineRule="atLeast"/>
              <w:rPr>
                <w:rFonts w:ascii="微软雅黑" w:hAnsi="微软雅黑" w:eastAsia="微软雅黑"/>
                <w:b/>
                <w:szCs w:val="21"/>
              </w:rPr>
            </w:pPr>
            <w:r>
              <w:rPr>
                <w:rFonts w:hint="eastAsia" w:ascii="微软雅黑" w:hAnsi="微软雅黑" w:eastAsia="微软雅黑"/>
                <w:b/>
                <w:szCs w:val="21"/>
              </w:rPr>
              <w:t>总计(大写)</w:t>
            </w:r>
          </w:p>
        </w:tc>
        <w:tc>
          <w:tcPr>
            <w:tcW w:w="1788" w:type="dxa"/>
            <w:shd w:val="clear" w:color="auto" w:fill="F2F2F2"/>
          </w:tcPr>
          <w:p>
            <w:pPr>
              <w:spacing w:line="0" w:lineRule="atLeast"/>
              <w:rPr>
                <w:rFonts w:ascii="微软雅黑" w:hAnsi="微软雅黑" w:eastAsia="微软雅黑"/>
                <w:b/>
                <w:szCs w:val="21"/>
              </w:rPr>
            </w:pPr>
          </w:p>
        </w:tc>
        <w:tc>
          <w:tcPr>
            <w:tcW w:w="6946" w:type="dxa"/>
            <w:gridSpan w:val="6"/>
            <w:shd w:val="clear" w:color="auto" w:fill="F2F2F2"/>
            <w:vAlign w:val="center"/>
          </w:tcPr>
          <w:p>
            <w:pPr>
              <w:spacing w:line="0" w:lineRule="atLeast"/>
              <w:rPr>
                <w:rFonts w:ascii="微软雅黑" w:hAnsi="微软雅黑" w:eastAsia="微软雅黑"/>
                <w:b/>
                <w:szCs w:val="21"/>
              </w:rPr>
            </w:pPr>
            <w:r>
              <w:rPr>
                <w:rFonts w:hint="eastAsia" w:ascii="微软雅黑" w:hAnsi="微软雅黑" w:eastAsia="微软雅黑"/>
                <w:b/>
                <w:szCs w:val="21"/>
              </w:rPr>
              <w:t>（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609" w:type="dxa"/>
            <w:gridSpan w:val="2"/>
            <w:shd w:val="clear" w:color="auto" w:fill="F2F2F2"/>
            <w:vAlign w:val="center"/>
          </w:tcPr>
          <w:p>
            <w:pPr>
              <w:spacing w:line="0" w:lineRule="atLeast"/>
              <w:rPr>
                <w:rFonts w:ascii="微软雅黑" w:hAnsi="微软雅黑" w:eastAsia="微软雅黑"/>
                <w:b/>
                <w:color w:val="000000"/>
                <w:szCs w:val="21"/>
              </w:rPr>
            </w:pPr>
            <w:r>
              <w:rPr>
                <w:rFonts w:hint="eastAsia" w:ascii="微软雅黑" w:hAnsi="微软雅黑" w:eastAsia="微软雅黑"/>
                <w:b/>
                <w:color w:val="000000"/>
                <w:szCs w:val="21"/>
              </w:rPr>
              <w:t>折合项目</w:t>
            </w:r>
            <w:r>
              <w:rPr>
                <w:rFonts w:ascii="微软雅黑" w:hAnsi="微软雅黑" w:eastAsia="微软雅黑"/>
                <w:b/>
                <w:color w:val="000000"/>
                <w:szCs w:val="21"/>
              </w:rPr>
              <w:t>单价</w:t>
            </w:r>
          </w:p>
        </w:tc>
        <w:tc>
          <w:tcPr>
            <w:tcW w:w="1788" w:type="dxa"/>
            <w:shd w:val="clear" w:color="auto" w:fill="F2F2F2"/>
          </w:tcPr>
          <w:p>
            <w:pPr>
              <w:spacing w:line="0" w:lineRule="atLeast"/>
              <w:rPr>
                <w:rFonts w:ascii="微软雅黑" w:hAnsi="微软雅黑" w:eastAsia="微软雅黑"/>
                <w:b/>
                <w:color w:val="000000"/>
                <w:szCs w:val="21"/>
              </w:rPr>
            </w:pPr>
          </w:p>
        </w:tc>
        <w:tc>
          <w:tcPr>
            <w:tcW w:w="6946" w:type="dxa"/>
            <w:gridSpan w:val="6"/>
            <w:shd w:val="clear" w:color="auto" w:fill="F2F2F2"/>
            <w:vAlign w:val="center"/>
          </w:tcPr>
          <w:p>
            <w:pPr>
              <w:spacing w:line="0" w:lineRule="atLeast"/>
              <w:rPr>
                <w:rFonts w:ascii="微软雅黑" w:hAnsi="微软雅黑" w:eastAsia="微软雅黑"/>
                <w:b/>
                <w:color w:val="000000"/>
                <w:szCs w:val="21"/>
              </w:rPr>
            </w:pPr>
            <w:r>
              <w:rPr>
                <w:rFonts w:hint="eastAsia" w:ascii="微软雅黑" w:hAnsi="微软雅黑" w:eastAsia="微软雅黑"/>
                <w:b/>
                <w:color w:val="000000"/>
                <w:szCs w:val="21"/>
              </w:rPr>
              <w:t xml:space="preserve">（    </w:t>
            </w:r>
            <w:r>
              <w:rPr>
                <w:rFonts w:ascii="微软雅黑" w:hAnsi="微软雅黑" w:eastAsia="微软雅黑"/>
                <w:b/>
                <w:color w:val="000000"/>
                <w:szCs w:val="21"/>
              </w:rPr>
              <w:t>）万元</w:t>
            </w:r>
            <w:r>
              <w:rPr>
                <w:rFonts w:hint="eastAsia" w:ascii="微软雅黑" w:hAnsi="微软雅黑" w:eastAsia="微软雅黑"/>
                <w:b/>
                <w:color w:val="000000"/>
                <w:szCs w:val="21"/>
              </w:rPr>
              <w:t>/个</w:t>
            </w:r>
          </w:p>
        </w:tc>
      </w:tr>
    </w:tbl>
    <w:p>
      <w:pPr>
        <w:spacing w:line="360" w:lineRule="auto"/>
        <w:rPr>
          <w:rFonts w:ascii="微软雅黑" w:hAnsi="微软雅黑" w:eastAsia="微软雅黑"/>
          <w:szCs w:val="21"/>
        </w:rPr>
      </w:pPr>
    </w:p>
    <w:p>
      <w:pPr>
        <w:spacing w:line="360" w:lineRule="auto"/>
        <w:ind w:firstLine="420" w:firstLineChars="200"/>
        <w:rPr>
          <w:rFonts w:ascii="微软雅黑" w:hAnsi="微软雅黑" w:eastAsia="微软雅黑"/>
          <w:color w:val="FF0000"/>
          <w:szCs w:val="21"/>
        </w:rPr>
      </w:pPr>
      <w:r>
        <w:rPr>
          <w:rFonts w:hint="eastAsia" w:ascii="微软雅黑" w:hAnsi="微软雅黑" w:eastAsia="微软雅黑"/>
          <w:color w:val="FF0000"/>
          <w:szCs w:val="21"/>
        </w:rPr>
        <w:t>注解：以上项目报价均以含税金额报价，无费用可不填写，&lt;系统年维护服务报价表&gt;、&lt;系统配套软件、硬件建议报价表&gt;作为辅助参考报价项目，其金额不计入产品总报价中。</w:t>
      </w:r>
    </w:p>
    <w:p>
      <w:pPr>
        <w:pStyle w:val="7"/>
        <w:wordWrap w:val="0"/>
        <w:snapToGrid w:val="0"/>
        <w:spacing w:before="120" w:line="360" w:lineRule="auto"/>
        <w:ind w:right="480"/>
        <w:jc w:val="center"/>
        <w:rPr>
          <w:rFonts w:ascii="微软雅黑" w:hAnsi="微软雅黑" w:eastAsia="微软雅黑"/>
          <w:bCs/>
          <w:u w:val="single"/>
        </w:rPr>
      </w:pPr>
      <w:r>
        <w:rPr>
          <w:rFonts w:hint="eastAsia" w:ascii="微软雅黑" w:hAnsi="微软雅黑" w:eastAsia="微软雅黑"/>
          <w:color w:val="000000"/>
        </w:rPr>
        <w:t xml:space="preserve">                                                        投标人名称（盖章）</w:t>
      </w:r>
      <w:r>
        <w:rPr>
          <w:rFonts w:hint="eastAsia" w:ascii="微软雅黑" w:hAnsi="微软雅黑" w:eastAsia="微软雅黑"/>
          <w:bCs/>
          <w:color w:val="000000"/>
        </w:rPr>
        <w:t>：</w:t>
      </w:r>
    </w:p>
    <w:p>
      <w:pPr>
        <w:pStyle w:val="7"/>
        <w:wordWrap w:val="0"/>
        <w:snapToGrid w:val="0"/>
        <w:spacing w:before="120" w:line="360" w:lineRule="auto"/>
        <w:ind w:right="420"/>
        <w:jc w:val="right"/>
        <w:rPr>
          <w:rFonts w:ascii="微软雅黑" w:hAnsi="微软雅黑" w:eastAsia="微软雅黑"/>
          <w:bCs/>
          <w:u w:val="single"/>
        </w:rPr>
      </w:pPr>
      <w:r>
        <w:rPr>
          <w:rFonts w:hint="eastAsia" w:ascii="微软雅黑" w:hAnsi="微软雅黑" w:eastAsia="微软雅黑"/>
          <w:color w:val="000000"/>
        </w:rPr>
        <w:t>法定代表人或授权代表签署</w:t>
      </w:r>
      <w:r>
        <w:rPr>
          <w:rFonts w:hint="eastAsia" w:ascii="微软雅黑" w:hAnsi="微软雅黑" w:eastAsia="微软雅黑"/>
          <w:bCs/>
          <w:color w:val="000000"/>
        </w:rPr>
        <w:t>：</w:t>
      </w:r>
    </w:p>
    <w:p>
      <w:pPr>
        <w:rPr>
          <w:rFonts w:ascii="微软雅黑" w:hAnsi="微软雅黑" w:eastAsia="微软雅黑"/>
          <w:bCs/>
          <w:szCs w:val="21"/>
        </w:rPr>
      </w:pPr>
      <w:r>
        <w:rPr>
          <w:rFonts w:hint="eastAsia" w:ascii="微软雅黑" w:hAnsi="微软雅黑" w:eastAsia="微软雅黑"/>
          <w:color w:val="000000"/>
          <w:szCs w:val="21"/>
        </w:rPr>
        <w:t xml:space="preserve">                                                               日期：    </w:t>
      </w:r>
      <w:r>
        <w:rPr>
          <w:rFonts w:hint="eastAsia" w:ascii="微软雅黑" w:hAnsi="微软雅黑" w:eastAsia="微软雅黑"/>
          <w:bCs/>
          <w:szCs w:val="21"/>
        </w:rPr>
        <w:t>年   月   日</w:t>
      </w:r>
    </w:p>
    <w:p>
      <w:pPr>
        <w:rPr>
          <w:rFonts w:ascii="微软雅黑" w:hAnsi="微软雅黑" w:eastAsia="微软雅黑"/>
          <w:szCs w:val="21"/>
        </w:rPr>
      </w:pPr>
    </w:p>
    <w:p>
      <w:pPr>
        <w:rPr>
          <w:rFonts w:ascii="微软雅黑" w:hAnsi="微软雅黑" w:eastAsia="微软雅黑"/>
          <w:szCs w:val="21"/>
        </w:rPr>
      </w:pPr>
    </w:p>
    <w:p>
      <w:pPr>
        <w:rPr>
          <w:rFonts w:ascii="微软雅黑" w:hAnsi="微软雅黑" w:eastAsia="微软雅黑"/>
          <w:szCs w:val="21"/>
        </w:rPr>
      </w:pPr>
    </w:p>
    <w:p>
      <w:pPr>
        <w:rPr>
          <w:rFonts w:hint="eastAsia" w:ascii="微软雅黑" w:hAnsi="微软雅黑" w:eastAsia="微软雅黑"/>
          <w:szCs w:val="21"/>
        </w:rPr>
      </w:pPr>
    </w:p>
    <w:p>
      <w:pPr>
        <w:spacing w:line="360" w:lineRule="auto"/>
        <w:jc w:val="left"/>
        <w:rPr>
          <w:rFonts w:ascii="仿宋_GB2312" w:hAnsi="华文仿宋" w:eastAsia="仿宋_GB2312"/>
          <w:sz w:val="28"/>
          <w:szCs w:val="28"/>
        </w:rPr>
      </w:pPr>
      <w:r>
        <w:rPr>
          <w:rFonts w:hint="eastAsia" w:ascii="仿宋_GB2312" w:hAnsi="华文仿宋" w:eastAsia="仿宋_GB2312"/>
          <w:sz w:val="28"/>
          <w:szCs w:val="28"/>
        </w:rPr>
        <w:t>合同编号：</w:t>
      </w:r>
    </w:p>
    <w:p>
      <w:pPr>
        <w:spacing w:line="360" w:lineRule="auto"/>
        <w:rPr>
          <w:rFonts w:ascii="方正小标宋_GBK" w:eastAsia="方正小标宋_GBK"/>
          <w:sz w:val="44"/>
        </w:rPr>
      </w:pPr>
    </w:p>
    <w:p>
      <w:pPr>
        <w:spacing w:line="360" w:lineRule="auto"/>
        <w:rPr>
          <w:rFonts w:ascii="方正小标宋_GBK" w:eastAsia="方正小标宋_GBK"/>
          <w:sz w:val="44"/>
        </w:rPr>
      </w:pPr>
    </w:p>
    <w:p>
      <w:pPr>
        <w:spacing w:line="360" w:lineRule="auto"/>
        <w:jc w:val="center"/>
        <w:rPr>
          <w:rFonts w:ascii="方正小标宋_GBK" w:hAnsi="华文仿宋" w:eastAsia="方正小标宋_GBK"/>
          <w:sz w:val="32"/>
        </w:rPr>
      </w:pPr>
      <w:r>
        <w:rPr>
          <w:rFonts w:hint="eastAsia" w:ascii="方正小标宋_GBK" w:eastAsia="方正小标宋_GBK"/>
          <w:sz w:val="44"/>
        </w:rPr>
        <w:t>北国xxx服务项目合同</w:t>
      </w:r>
    </w:p>
    <w:p>
      <w:pPr>
        <w:spacing w:line="360" w:lineRule="auto"/>
        <w:rPr>
          <w:rFonts w:ascii="方正小标宋_GBK" w:hAnsi="华文仿宋" w:eastAsia="方正小标宋_GBK"/>
          <w:sz w:val="32"/>
        </w:rPr>
      </w:pPr>
    </w:p>
    <w:p>
      <w:pPr>
        <w:spacing w:line="360" w:lineRule="auto"/>
        <w:rPr>
          <w:rFonts w:ascii="方正小标宋_GBK" w:hAnsi="华文仿宋" w:eastAsia="方正小标宋_GBK"/>
          <w:sz w:val="32"/>
        </w:rPr>
      </w:pPr>
    </w:p>
    <w:p>
      <w:pPr>
        <w:spacing w:line="360" w:lineRule="auto"/>
        <w:rPr>
          <w:rFonts w:ascii="方正小标宋_GBK" w:hAnsi="华文仿宋" w:eastAsia="方正小标宋_GBK"/>
          <w:sz w:val="32"/>
        </w:rPr>
      </w:pPr>
    </w:p>
    <w:p>
      <w:pPr>
        <w:spacing w:line="360" w:lineRule="auto"/>
        <w:rPr>
          <w:rFonts w:ascii="方正小标宋_GBK" w:hAnsi="华文仿宋" w:eastAsia="方正小标宋_GBK"/>
          <w:sz w:val="32"/>
        </w:rPr>
      </w:pPr>
    </w:p>
    <w:p>
      <w:pPr>
        <w:spacing w:line="360" w:lineRule="auto"/>
        <w:rPr>
          <w:rFonts w:ascii="方正小标宋_GBK" w:hAnsi="华文仿宋" w:eastAsia="方正小标宋_GBK"/>
          <w:sz w:val="32"/>
        </w:rPr>
      </w:pPr>
    </w:p>
    <w:p>
      <w:pPr>
        <w:spacing w:line="360" w:lineRule="auto"/>
        <w:rPr>
          <w:rFonts w:ascii="方正小标宋_GBK" w:hAnsi="华文仿宋" w:eastAsia="方正小标宋_GBK"/>
          <w:sz w:val="32"/>
        </w:rPr>
      </w:pPr>
    </w:p>
    <w:p>
      <w:pPr>
        <w:spacing w:line="360" w:lineRule="auto"/>
        <w:rPr>
          <w:rFonts w:ascii="方正小标宋_GBK" w:hAnsi="华文仿宋" w:eastAsia="方正小标宋_GBK"/>
          <w:sz w:val="32"/>
        </w:rPr>
      </w:pPr>
    </w:p>
    <w:p>
      <w:pPr>
        <w:spacing w:line="360" w:lineRule="auto"/>
        <w:ind w:firstLine="2100" w:firstLineChars="700"/>
        <w:rPr>
          <w:rFonts w:ascii="方正小标宋_GBK" w:hAnsi="华文仿宋" w:eastAsia="方正小标宋_GBK"/>
          <w:sz w:val="30"/>
          <w:szCs w:val="30"/>
        </w:rPr>
      </w:pPr>
      <w:r>
        <w:rPr>
          <w:rFonts w:hint="eastAsia" w:ascii="方正小标宋_GBK" w:hAnsi="华文仿宋" w:eastAsia="方正小标宋_GBK"/>
          <w:sz w:val="30"/>
          <w:szCs w:val="30"/>
        </w:rPr>
        <w:t>甲    方: 北国商城股份有限公司</w:t>
      </w:r>
    </w:p>
    <w:p>
      <w:pPr>
        <w:spacing w:line="360" w:lineRule="auto"/>
        <w:ind w:firstLine="2100" w:firstLineChars="700"/>
        <w:rPr>
          <w:rFonts w:ascii="方正小标宋_GBK" w:hAnsi="华文仿宋" w:eastAsia="方正小标宋_GBK"/>
          <w:sz w:val="30"/>
          <w:szCs w:val="30"/>
        </w:rPr>
      </w:pPr>
      <w:r>
        <w:rPr>
          <w:rFonts w:hint="eastAsia" w:ascii="方正小标宋_GBK" w:hAnsi="华文仿宋" w:eastAsia="方正小标宋_GBK"/>
          <w:sz w:val="30"/>
          <w:szCs w:val="30"/>
        </w:rPr>
        <w:t xml:space="preserve">乙    方: </w:t>
      </w:r>
    </w:p>
    <w:p>
      <w:pPr>
        <w:spacing w:line="360" w:lineRule="auto"/>
        <w:ind w:firstLine="2100" w:firstLineChars="700"/>
        <w:rPr>
          <w:rFonts w:ascii="方正小标宋_GBK" w:hAnsi="华文仿宋" w:eastAsia="方正小标宋_GBK"/>
          <w:sz w:val="30"/>
          <w:szCs w:val="30"/>
        </w:rPr>
      </w:pPr>
      <w:r>
        <w:rPr>
          <w:rFonts w:hint="eastAsia" w:ascii="方正小标宋_GBK" w:hAnsi="华文仿宋" w:eastAsia="方正小标宋_GBK"/>
          <w:sz w:val="30"/>
          <w:szCs w:val="30"/>
        </w:rPr>
        <w:t xml:space="preserve">签订时间: </w:t>
      </w:r>
      <w:r>
        <w:rPr>
          <w:rFonts w:hint="eastAsia" w:ascii="方正小标宋_GBK" w:hAnsi="华文仿宋" w:eastAsia="方正小标宋_GBK"/>
          <w:bCs/>
          <w:sz w:val="30"/>
          <w:szCs w:val="30"/>
          <w:u w:val="single"/>
        </w:rPr>
        <w:t xml:space="preserve"> </w:t>
      </w:r>
      <w:r>
        <w:rPr>
          <w:rFonts w:ascii="方正小标宋_GBK" w:hAnsi="华文仿宋" w:eastAsia="方正小标宋_GBK"/>
          <w:bCs/>
          <w:sz w:val="30"/>
          <w:szCs w:val="30"/>
          <w:u w:val="single"/>
        </w:rPr>
        <w:t xml:space="preserve">   </w:t>
      </w:r>
      <w:r>
        <w:rPr>
          <w:rFonts w:hint="eastAsia" w:ascii="方正小标宋_GBK" w:hAnsi="华文仿宋" w:eastAsia="方正小标宋_GBK"/>
          <w:bCs/>
          <w:sz w:val="30"/>
          <w:szCs w:val="30"/>
          <w:u w:val="single"/>
        </w:rPr>
        <w:t xml:space="preserve">年 </w:t>
      </w:r>
      <w:r>
        <w:rPr>
          <w:rFonts w:ascii="方正小标宋_GBK" w:hAnsi="华文仿宋" w:eastAsia="方正小标宋_GBK"/>
          <w:bCs/>
          <w:sz w:val="30"/>
          <w:szCs w:val="30"/>
          <w:u w:val="single"/>
        </w:rPr>
        <w:t xml:space="preserve">  </w:t>
      </w:r>
      <w:r>
        <w:rPr>
          <w:rFonts w:hint="eastAsia" w:ascii="方正小标宋_GBK" w:hAnsi="华文仿宋" w:eastAsia="方正小标宋_GBK"/>
          <w:bCs/>
          <w:sz w:val="30"/>
          <w:szCs w:val="30"/>
          <w:u w:val="single"/>
        </w:rPr>
        <w:t xml:space="preserve"> 月 </w:t>
      </w:r>
      <w:r>
        <w:rPr>
          <w:rFonts w:ascii="方正小标宋_GBK" w:hAnsi="华文仿宋" w:eastAsia="方正小标宋_GBK"/>
          <w:bCs/>
          <w:sz w:val="30"/>
          <w:szCs w:val="30"/>
          <w:u w:val="single"/>
        </w:rPr>
        <w:t xml:space="preserve">   </w:t>
      </w:r>
      <w:r>
        <w:rPr>
          <w:rFonts w:hint="eastAsia" w:ascii="方正小标宋_GBK" w:hAnsi="华文仿宋" w:eastAsia="方正小标宋_GBK"/>
          <w:bCs/>
          <w:sz w:val="30"/>
          <w:szCs w:val="30"/>
          <w:u w:val="single"/>
        </w:rPr>
        <w:t xml:space="preserve"> 日</w:t>
      </w:r>
    </w:p>
    <w:p>
      <w:pPr>
        <w:spacing w:line="360" w:lineRule="auto"/>
        <w:ind w:firstLine="2100" w:firstLineChars="700"/>
        <w:rPr>
          <w:rFonts w:ascii="方正小标宋_GBK" w:hAnsi="华文仿宋" w:eastAsia="方正小标宋_GBK"/>
          <w:sz w:val="30"/>
          <w:szCs w:val="30"/>
        </w:rPr>
      </w:pPr>
      <w:r>
        <w:rPr>
          <w:rFonts w:hint="eastAsia" w:ascii="方正小标宋_GBK" w:hAnsi="华文仿宋" w:eastAsia="方正小标宋_GBK"/>
          <w:sz w:val="30"/>
          <w:szCs w:val="30"/>
        </w:rPr>
        <w:t>签定地点：</w:t>
      </w:r>
      <w:r>
        <w:rPr>
          <w:rFonts w:hint="eastAsia" w:ascii="方正小标宋_GBK" w:hAnsi="华文仿宋" w:eastAsia="方正小标宋_GBK"/>
          <w:sz w:val="30"/>
          <w:szCs w:val="30"/>
          <w:u w:val="single"/>
        </w:rPr>
        <w:t xml:space="preserve">   石家庄         </w:t>
      </w:r>
    </w:p>
    <w:p>
      <w:pPr>
        <w:spacing w:line="360" w:lineRule="auto"/>
        <w:rPr>
          <w:rFonts w:ascii="方正仿宋_GBK" w:eastAsia="方正仿宋_GBK"/>
          <w:sz w:val="32"/>
          <w:u w:val="single"/>
        </w:rPr>
        <w:sectPr>
          <w:headerReference r:id="rId3" w:type="default"/>
          <w:footerReference r:id="rId4" w:type="even"/>
          <w:pgSz w:w="11906" w:h="16838"/>
          <w:pgMar w:top="1418" w:right="1418" w:bottom="1418" w:left="1418" w:header="851" w:footer="992" w:gutter="0"/>
          <w:pgNumType w:start="1"/>
          <w:cols w:space="720" w:num="1"/>
          <w:docGrid w:type="lines" w:linePitch="312" w:charSpace="0"/>
        </w:sectPr>
      </w:pPr>
    </w:p>
    <w:p>
      <w:pPr>
        <w:spacing w:line="360" w:lineRule="auto"/>
        <w:rPr>
          <w:rFonts w:ascii="仿宋_GB2312" w:hAnsi="仿宋" w:eastAsia="仿宋_GB2312"/>
          <w:b/>
          <w:sz w:val="28"/>
          <w:szCs w:val="28"/>
        </w:rPr>
      </w:pPr>
      <w:r>
        <w:rPr>
          <w:rFonts w:hint="eastAsia" w:ascii="仿宋_GB2312" w:hAnsi="仿宋" w:eastAsia="仿宋_GB2312"/>
          <w:b/>
          <w:sz w:val="28"/>
          <w:szCs w:val="28"/>
        </w:rPr>
        <w:t>甲方：北国商城股份有限公司</w:t>
      </w:r>
    </w:p>
    <w:p>
      <w:pPr>
        <w:spacing w:line="360" w:lineRule="auto"/>
        <w:rPr>
          <w:rFonts w:ascii="仿宋_GB2312" w:hAnsi="仿宋" w:eastAsia="仿宋_GB2312"/>
          <w:b/>
          <w:sz w:val="28"/>
          <w:szCs w:val="28"/>
        </w:rPr>
      </w:pPr>
      <w:r>
        <w:rPr>
          <w:rFonts w:hint="eastAsia" w:ascii="仿宋_GB2312" w:hAnsi="仿宋" w:eastAsia="仿宋_GB2312"/>
          <w:b/>
          <w:sz w:val="28"/>
          <w:szCs w:val="28"/>
        </w:rPr>
        <w:t>乙方：</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鉴于甲方委托乙方提供xxx实施技术服务工作，且乙方同意接受委托，根据《中华人民共和国民法典》及其他有关法律、法规和规章的规定，双方经协商一致，订立本合同。</w:t>
      </w:r>
    </w:p>
    <w:p>
      <w:pPr>
        <w:spacing w:line="360" w:lineRule="auto"/>
        <w:rPr>
          <w:rFonts w:ascii="仿宋_GB2312" w:hAnsi="仿宋" w:eastAsia="仿宋_GB2312"/>
          <w:b/>
          <w:sz w:val="28"/>
          <w:szCs w:val="28"/>
        </w:rPr>
      </w:pPr>
      <w:bookmarkStart w:id="149" w:name="_Toc251885470"/>
      <w:bookmarkStart w:id="150" w:name="_Toc213484887"/>
      <w:bookmarkStart w:id="151" w:name="_Toc213484697"/>
      <w:r>
        <w:rPr>
          <w:rFonts w:hint="eastAsia" w:ascii="仿宋_GB2312" w:hAnsi="仿宋" w:eastAsia="仿宋_GB2312"/>
          <w:b/>
          <w:sz w:val="28"/>
          <w:szCs w:val="28"/>
        </w:rPr>
        <w:t>第1条  服务内容、期限和要求</w:t>
      </w:r>
      <w:bookmarkEnd w:id="149"/>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1.1 甲方委托乙方提供X</w:t>
      </w:r>
      <w:r>
        <w:rPr>
          <w:rFonts w:ascii="仿宋_GB2312" w:hAnsi="仿宋" w:eastAsia="仿宋_GB2312"/>
          <w:sz w:val="28"/>
          <w:szCs w:val="28"/>
        </w:rPr>
        <w:t>XXX</w:t>
      </w:r>
      <w:r>
        <w:rPr>
          <w:rFonts w:hint="eastAsia" w:ascii="仿宋_GB2312" w:hAnsi="仿宋" w:eastAsia="仿宋_GB2312"/>
          <w:sz w:val="28"/>
          <w:szCs w:val="28"/>
        </w:rPr>
        <w:t>实施技术支持服务工作。</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1.2 乙方的服务期限为从</w:t>
      </w:r>
      <w:r>
        <w:rPr>
          <w:rFonts w:ascii="仿宋_GB2312" w:hAnsi="仿宋" w:eastAsia="仿宋_GB2312"/>
          <w:sz w:val="28"/>
          <w:szCs w:val="28"/>
          <w:u w:val="single"/>
        </w:rPr>
        <w:t xml:space="preserve">    </w:t>
      </w:r>
      <w:r>
        <w:rPr>
          <w:rFonts w:hint="eastAsia" w:ascii="仿宋_GB2312" w:hAnsi="仿宋" w:eastAsia="仿宋_GB2312"/>
          <w:sz w:val="28"/>
          <w:szCs w:val="28"/>
        </w:rPr>
        <w:t>年</w:t>
      </w:r>
      <w:r>
        <w:rPr>
          <w:rFonts w:ascii="仿宋_GB2312" w:hAnsi="仿宋" w:eastAsia="仿宋_GB2312"/>
          <w:sz w:val="28"/>
          <w:szCs w:val="28"/>
          <w:u w:val="single"/>
        </w:rPr>
        <w:t xml:space="preserve">  </w:t>
      </w:r>
      <w:r>
        <w:rPr>
          <w:rFonts w:hint="eastAsia" w:ascii="仿宋_GB2312" w:hAnsi="仿宋" w:eastAsia="仿宋_GB2312"/>
          <w:sz w:val="28"/>
          <w:szCs w:val="28"/>
        </w:rPr>
        <w:t>月</w:t>
      </w:r>
      <w:r>
        <w:rPr>
          <w:rFonts w:ascii="仿宋_GB2312" w:hAnsi="仿宋" w:eastAsia="仿宋_GB2312"/>
          <w:sz w:val="28"/>
          <w:szCs w:val="28"/>
          <w:u w:val="single"/>
        </w:rPr>
        <w:t xml:space="preserve">  </w:t>
      </w:r>
      <w:r>
        <w:rPr>
          <w:rFonts w:hint="eastAsia" w:ascii="仿宋_GB2312" w:hAnsi="仿宋" w:eastAsia="仿宋_GB2312"/>
          <w:sz w:val="28"/>
          <w:szCs w:val="28"/>
        </w:rPr>
        <w:t xml:space="preserve">日至 </w:t>
      </w:r>
      <w:r>
        <w:rPr>
          <w:rFonts w:ascii="仿宋_GB2312" w:hAnsi="仿宋" w:eastAsia="仿宋_GB2312"/>
          <w:sz w:val="28"/>
          <w:szCs w:val="28"/>
          <w:u w:val="single"/>
        </w:rPr>
        <w:t xml:space="preserve">   </w:t>
      </w:r>
      <w:r>
        <w:rPr>
          <w:rFonts w:hint="eastAsia" w:ascii="仿宋_GB2312" w:hAnsi="仿宋" w:eastAsia="仿宋_GB2312"/>
          <w:sz w:val="28"/>
          <w:szCs w:val="28"/>
        </w:rPr>
        <w:t>年</w:t>
      </w:r>
      <w:r>
        <w:rPr>
          <w:rFonts w:ascii="仿宋_GB2312" w:hAnsi="仿宋" w:eastAsia="仿宋_GB2312"/>
          <w:sz w:val="28"/>
          <w:szCs w:val="28"/>
          <w:u w:val="single"/>
        </w:rPr>
        <w:t xml:space="preserve">  </w:t>
      </w:r>
      <w:r>
        <w:rPr>
          <w:rFonts w:hint="eastAsia" w:ascii="仿宋_GB2312" w:hAnsi="仿宋" w:eastAsia="仿宋_GB2312"/>
          <w:sz w:val="28"/>
          <w:szCs w:val="28"/>
        </w:rPr>
        <w:t>月</w:t>
      </w:r>
      <w:r>
        <w:rPr>
          <w:rFonts w:ascii="仿宋_GB2312" w:hAnsi="仿宋" w:eastAsia="仿宋_GB2312"/>
          <w:sz w:val="28"/>
          <w:szCs w:val="28"/>
          <w:u w:val="single"/>
        </w:rPr>
        <w:t xml:space="preserve">     </w:t>
      </w:r>
      <w:r>
        <w:rPr>
          <w:rFonts w:hint="eastAsia" w:ascii="仿宋_GB2312" w:hAnsi="仿宋" w:eastAsia="仿宋_GB2312"/>
          <w:sz w:val="28"/>
          <w:szCs w:val="28"/>
        </w:rPr>
        <w:t>日止。</w:t>
      </w:r>
      <w:r>
        <w:rPr>
          <w:rFonts w:hint="eastAsia" w:ascii="仿宋_GB2312" w:hAnsi="仿宋" w:eastAsia="仿宋_GB2312"/>
          <w:color w:val="FF0000"/>
          <w:sz w:val="28"/>
          <w:szCs w:val="28"/>
        </w:rPr>
        <w:t>质保期为服务实施完成，验收合格后3个月。</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1.3 乙方的服务应符合本合同约定的服务要求</w:t>
      </w:r>
      <w:r>
        <w:rPr>
          <w:rFonts w:hint="eastAsia" w:ascii="仿宋_GB2312" w:hAnsi="仿宋" w:eastAsia="仿宋_GB2312"/>
          <w:color w:val="FF0000"/>
          <w:sz w:val="28"/>
          <w:szCs w:val="28"/>
        </w:rPr>
        <w:t>（附件一）</w:t>
      </w:r>
      <w:r>
        <w:rPr>
          <w:rFonts w:hint="eastAsia" w:ascii="仿宋_GB2312" w:hAnsi="仿宋" w:eastAsia="仿宋_GB2312"/>
          <w:sz w:val="28"/>
          <w:szCs w:val="28"/>
        </w:rPr>
        <w:t>、技术规范</w:t>
      </w:r>
      <w:r>
        <w:rPr>
          <w:rFonts w:hint="eastAsia" w:ascii="仿宋_GB2312" w:hAnsi="仿宋" w:eastAsia="仿宋_GB2312"/>
          <w:color w:val="FF0000"/>
          <w:sz w:val="28"/>
          <w:szCs w:val="28"/>
        </w:rPr>
        <w:t>（附件二）</w:t>
      </w:r>
      <w:r>
        <w:rPr>
          <w:rFonts w:hint="eastAsia" w:ascii="仿宋_GB2312" w:hAnsi="仿宋" w:eastAsia="仿宋_GB2312"/>
          <w:sz w:val="28"/>
          <w:szCs w:val="28"/>
        </w:rPr>
        <w:t>。</w:t>
      </w:r>
    </w:p>
    <w:p>
      <w:pPr>
        <w:spacing w:line="360" w:lineRule="auto"/>
        <w:ind w:firstLine="560" w:firstLineChars="200"/>
        <w:rPr>
          <w:rFonts w:ascii="仿宋_GB2312" w:hAnsi="仿宋" w:eastAsia="仿宋_GB2312"/>
          <w:color w:val="FF0000"/>
          <w:sz w:val="28"/>
          <w:szCs w:val="28"/>
        </w:rPr>
      </w:pPr>
      <w:r>
        <w:rPr>
          <w:rFonts w:hint="eastAsia" w:ascii="仿宋_GB2312" w:hAnsi="仿宋" w:eastAsia="仿宋_GB2312"/>
          <w:color w:val="FF0000"/>
          <w:sz w:val="28"/>
          <w:szCs w:val="28"/>
        </w:rPr>
        <w:t>1.4验收标准：比对指定时间段内主备两端业务表数据完整正确，进行容灾演练完成后，且满足招标参数要求（附件三）。</w:t>
      </w:r>
    </w:p>
    <w:bookmarkEnd w:id="150"/>
    <w:bookmarkEnd w:id="151"/>
    <w:p>
      <w:pPr>
        <w:spacing w:line="360" w:lineRule="auto"/>
        <w:rPr>
          <w:rFonts w:ascii="仿宋_GB2312" w:hAnsi="仿宋" w:eastAsia="仿宋_GB2312"/>
          <w:b/>
          <w:sz w:val="28"/>
          <w:szCs w:val="28"/>
        </w:rPr>
      </w:pPr>
      <w:bookmarkStart w:id="152" w:name="_Toc213484698"/>
      <w:bookmarkStart w:id="153" w:name="_Toc213484888"/>
      <w:bookmarkStart w:id="154" w:name="_Toc251885471"/>
      <w:r>
        <w:rPr>
          <w:rFonts w:hint="eastAsia" w:ascii="仿宋_GB2312" w:hAnsi="仿宋" w:eastAsia="仿宋_GB2312"/>
          <w:b/>
          <w:sz w:val="28"/>
          <w:szCs w:val="28"/>
        </w:rPr>
        <w:t xml:space="preserve">第2条  </w:t>
      </w:r>
      <w:bookmarkEnd w:id="152"/>
      <w:bookmarkEnd w:id="153"/>
      <w:r>
        <w:rPr>
          <w:rFonts w:hint="eastAsia" w:ascii="仿宋_GB2312" w:hAnsi="仿宋" w:eastAsia="仿宋_GB2312"/>
          <w:b/>
          <w:sz w:val="28"/>
          <w:szCs w:val="28"/>
        </w:rPr>
        <w:t>服务费用</w:t>
      </w:r>
      <w:bookmarkEnd w:id="154"/>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2.1 配件采购（含配件升级服务）和容灾服务费用共计：</w:t>
      </w:r>
      <w:r>
        <w:rPr>
          <w:rFonts w:hint="eastAsia" w:ascii="仿宋_GB2312" w:hAnsi="仿宋" w:eastAsia="仿宋_GB2312"/>
          <w:sz w:val="28"/>
          <w:szCs w:val="28"/>
          <w:u w:val="single"/>
        </w:rPr>
        <w:t xml:space="preserve">  </w:t>
      </w:r>
      <w:r>
        <w:rPr>
          <w:rFonts w:ascii="仿宋_GB2312" w:hAnsi="仿宋" w:eastAsia="仿宋_GB2312"/>
          <w:sz w:val="28"/>
          <w:szCs w:val="28"/>
          <w:u w:val="single"/>
        </w:rPr>
        <w:t xml:space="preserve">    </w:t>
      </w:r>
      <w:r>
        <w:rPr>
          <w:rFonts w:hint="eastAsia" w:ascii="仿宋_GB2312" w:hAnsi="仿宋" w:eastAsia="仿宋_GB2312"/>
          <w:sz w:val="28"/>
          <w:szCs w:val="28"/>
        </w:rPr>
        <w:t xml:space="preserve">元整，（ </w:t>
      </w:r>
      <w:r>
        <w:rPr>
          <w:rFonts w:hint="eastAsia" w:ascii="宋体" w:hAnsi="宋体"/>
          <w:sz w:val="28"/>
          <w:szCs w:val="28"/>
        </w:rPr>
        <w:t>¥</w:t>
      </w:r>
      <w:r>
        <w:rPr>
          <w:rFonts w:ascii="仿宋_GB2312" w:hAnsi="仿宋" w:eastAsia="仿宋_GB2312"/>
          <w:sz w:val="28"/>
          <w:szCs w:val="28"/>
        </w:rPr>
        <w:t xml:space="preserve">     </w:t>
      </w:r>
      <w:r>
        <w:rPr>
          <w:rFonts w:hint="eastAsia" w:ascii="仿宋_GB2312" w:hAnsi="仿宋" w:eastAsia="仿宋_GB2312"/>
          <w:sz w:val="28"/>
          <w:szCs w:val="28"/>
        </w:rPr>
        <w:t>元整）（附件四）。</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2.2付款方式为：</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合同签定后三个工作日内甲方支付乙方实施服务费50%，即人民币</w:t>
      </w:r>
      <w:r>
        <w:rPr>
          <w:rFonts w:hint="eastAsia" w:ascii="宋体" w:hAnsi="宋体"/>
          <w:sz w:val="28"/>
          <w:szCs w:val="28"/>
          <w:u w:val="single"/>
        </w:rPr>
        <w:t>¥</w:t>
      </w:r>
      <w:r>
        <w:rPr>
          <w:rFonts w:ascii="仿宋_GB2312" w:hAnsi="仿宋" w:eastAsia="仿宋_GB2312"/>
          <w:sz w:val="28"/>
          <w:szCs w:val="28"/>
          <w:u w:val="single"/>
        </w:rPr>
        <w:t xml:space="preserve">     </w:t>
      </w:r>
      <w:r>
        <w:rPr>
          <w:rFonts w:ascii="仿宋_GB2312" w:hAnsi="仿宋" w:eastAsia="仿宋_GB2312"/>
          <w:sz w:val="28"/>
          <w:szCs w:val="28"/>
        </w:rPr>
        <w:t>元整，大写人民币：</w:t>
      </w:r>
      <w:r>
        <w:rPr>
          <w:rFonts w:hint="eastAsia" w:ascii="仿宋_GB2312" w:hAnsi="仿宋" w:eastAsia="仿宋_GB2312"/>
          <w:sz w:val="28"/>
          <w:szCs w:val="28"/>
          <w:u w:val="single"/>
        </w:rPr>
        <w:t xml:space="preserve"> </w:t>
      </w:r>
      <w:r>
        <w:rPr>
          <w:rFonts w:ascii="仿宋_GB2312" w:hAnsi="仿宋" w:eastAsia="仿宋_GB2312"/>
          <w:sz w:val="28"/>
          <w:szCs w:val="28"/>
          <w:u w:val="single"/>
        </w:rPr>
        <w:t xml:space="preserve">     </w:t>
      </w:r>
      <w:r>
        <w:rPr>
          <w:rFonts w:hint="eastAsia" w:ascii="仿宋_GB2312" w:hAnsi="仿宋" w:eastAsia="仿宋_GB2312"/>
          <w:sz w:val="28"/>
          <w:szCs w:val="28"/>
          <w:u w:val="single"/>
        </w:rPr>
        <w:t xml:space="preserve"> </w:t>
      </w:r>
      <w:r>
        <w:rPr>
          <w:rFonts w:hint="eastAsia" w:ascii="仿宋_GB2312" w:hAnsi="仿宋" w:eastAsia="仿宋_GB2312"/>
          <w:sz w:val="28"/>
          <w:szCs w:val="28"/>
        </w:rPr>
        <w:t>元</w:t>
      </w:r>
      <w:r>
        <w:rPr>
          <w:rFonts w:ascii="仿宋_GB2312" w:hAnsi="仿宋" w:eastAsia="仿宋_GB2312"/>
          <w:sz w:val="28"/>
          <w:szCs w:val="28"/>
        </w:rPr>
        <w:t>整</w:t>
      </w:r>
      <w:r>
        <w:rPr>
          <w:rFonts w:hint="eastAsia" w:ascii="仿宋_GB2312" w:hAnsi="仿宋" w:eastAsia="仿宋_GB2312"/>
          <w:sz w:val="28"/>
          <w:szCs w:val="28"/>
        </w:rPr>
        <w:t>，</w:t>
      </w:r>
      <w:r>
        <w:rPr>
          <w:rFonts w:ascii="仿宋_GB2312" w:hAnsi="仿宋" w:eastAsia="仿宋_GB2312"/>
          <w:sz w:val="28"/>
          <w:szCs w:val="28"/>
        </w:rPr>
        <w:t>电汇。</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实施服务完成运行一周后组织验收，验收通过三个工作日内甲方支付乙方实施服务费40%，即人民币</w:t>
      </w:r>
      <w:r>
        <w:rPr>
          <w:rFonts w:hint="eastAsia" w:ascii="宋体" w:hAnsi="宋体"/>
          <w:sz w:val="28"/>
          <w:szCs w:val="28"/>
          <w:u w:val="single"/>
        </w:rPr>
        <w:t>¥</w:t>
      </w:r>
      <w:r>
        <w:rPr>
          <w:rFonts w:ascii="仿宋_GB2312" w:hAnsi="仿宋" w:eastAsia="仿宋_GB2312"/>
          <w:sz w:val="28"/>
          <w:szCs w:val="28"/>
          <w:u w:val="single"/>
        </w:rPr>
        <w:t xml:space="preserve">     </w:t>
      </w:r>
      <w:r>
        <w:rPr>
          <w:rFonts w:ascii="仿宋_GB2312" w:hAnsi="仿宋" w:eastAsia="仿宋_GB2312"/>
          <w:sz w:val="28"/>
          <w:szCs w:val="28"/>
        </w:rPr>
        <w:t>元整，大写人民币：</w:t>
      </w:r>
      <w:r>
        <w:rPr>
          <w:rFonts w:hint="eastAsia" w:ascii="仿宋_GB2312" w:hAnsi="仿宋" w:eastAsia="仿宋_GB2312"/>
          <w:sz w:val="28"/>
          <w:szCs w:val="28"/>
          <w:u w:val="single"/>
        </w:rPr>
        <w:t xml:space="preserve"> </w:t>
      </w:r>
      <w:r>
        <w:rPr>
          <w:rFonts w:ascii="仿宋_GB2312" w:hAnsi="仿宋" w:eastAsia="仿宋_GB2312"/>
          <w:sz w:val="28"/>
          <w:szCs w:val="28"/>
          <w:u w:val="single"/>
        </w:rPr>
        <w:t xml:space="preserve">    </w:t>
      </w:r>
      <w:r>
        <w:rPr>
          <w:rFonts w:hint="eastAsia" w:ascii="仿宋_GB2312" w:hAnsi="仿宋" w:eastAsia="仿宋_GB2312"/>
          <w:sz w:val="28"/>
          <w:szCs w:val="28"/>
        </w:rPr>
        <w:t>元</w:t>
      </w:r>
      <w:r>
        <w:rPr>
          <w:rFonts w:ascii="仿宋_GB2312" w:hAnsi="仿宋" w:eastAsia="仿宋_GB2312"/>
          <w:sz w:val="28"/>
          <w:szCs w:val="28"/>
        </w:rPr>
        <w:t>整</w:t>
      </w:r>
      <w:r>
        <w:rPr>
          <w:rFonts w:hint="eastAsia" w:ascii="仿宋_GB2312" w:hAnsi="仿宋" w:eastAsia="仿宋_GB2312"/>
          <w:sz w:val="28"/>
          <w:szCs w:val="28"/>
        </w:rPr>
        <w:t>，</w:t>
      </w:r>
      <w:r>
        <w:rPr>
          <w:rFonts w:ascii="仿宋_GB2312" w:hAnsi="仿宋" w:eastAsia="仿宋_GB2312"/>
          <w:sz w:val="28"/>
          <w:szCs w:val="28"/>
        </w:rPr>
        <w:t>电汇。</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实施服务质保期结束后三个工作日内甲方支付乙方实施服务费10%，即人民币</w:t>
      </w:r>
      <w:r>
        <w:rPr>
          <w:rFonts w:hint="eastAsia" w:ascii="宋体" w:hAnsi="宋体"/>
          <w:sz w:val="28"/>
          <w:szCs w:val="28"/>
          <w:u w:val="single"/>
        </w:rPr>
        <w:t>¥</w:t>
      </w:r>
      <w:r>
        <w:rPr>
          <w:rFonts w:ascii="宋体" w:hAnsi="宋体"/>
          <w:sz w:val="28"/>
          <w:szCs w:val="28"/>
          <w:u w:val="single"/>
        </w:rPr>
        <w:t xml:space="preserve">     </w:t>
      </w:r>
      <w:r>
        <w:rPr>
          <w:rFonts w:ascii="仿宋_GB2312" w:hAnsi="仿宋" w:eastAsia="仿宋_GB2312"/>
          <w:sz w:val="28"/>
          <w:szCs w:val="28"/>
        </w:rPr>
        <w:t>元整，大写人民币：</w:t>
      </w:r>
      <w:r>
        <w:rPr>
          <w:rFonts w:hint="eastAsia" w:ascii="仿宋_GB2312" w:hAnsi="仿宋" w:eastAsia="仿宋_GB2312"/>
          <w:sz w:val="28"/>
          <w:szCs w:val="28"/>
          <w:u w:val="single"/>
        </w:rPr>
        <w:t xml:space="preserve"> </w:t>
      </w:r>
      <w:r>
        <w:rPr>
          <w:rFonts w:ascii="仿宋_GB2312" w:hAnsi="仿宋" w:eastAsia="仿宋_GB2312"/>
          <w:sz w:val="28"/>
          <w:szCs w:val="28"/>
          <w:u w:val="single"/>
        </w:rPr>
        <w:t xml:space="preserve">      </w:t>
      </w:r>
      <w:r>
        <w:rPr>
          <w:rFonts w:hint="eastAsia" w:ascii="仿宋_GB2312" w:hAnsi="仿宋" w:eastAsia="仿宋_GB2312"/>
          <w:sz w:val="28"/>
          <w:szCs w:val="28"/>
        </w:rPr>
        <w:t>元</w:t>
      </w:r>
      <w:r>
        <w:rPr>
          <w:rFonts w:ascii="仿宋_GB2312" w:hAnsi="仿宋" w:eastAsia="仿宋_GB2312"/>
          <w:sz w:val="28"/>
          <w:szCs w:val="28"/>
        </w:rPr>
        <w:t>整</w:t>
      </w:r>
      <w:r>
        <w:rPr>
          <w:rFonts w:hint="eastAsia" w:ascii="仿宋_GB2312" w:hAnsi="仿宋" w:eastAsia="仿宋_GB2312"/>
          <w:sz w:val="28"/>
          <w:szCs w:val="28"/>
        </w:rPr>
        <w:t>，</w:t>
      </w:r>
      <w:r>
        <w:rPr>
          <w:rFonts w:ascii="仿宋_GB2312" w:hAnsi="仿宋" w:eastAsia="仿宋_GB2312"/>
          <w:sz w:val="28"/>
          <w:szCs w:val="28"/>
        </w:rPr>
        <w:t>电汇。</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2.</w:t>
      </w:r>
      <w:r>
        <w:rPr>
          <w:rFonts w:ascii="仿宋_GB2312" w:hAnsi="仿宋" w:eastAsia="仿宋_GB2312"/>
          <w:sz w:val="28"/>
          <w:szCs w:val="28"/>
        </w:rPr>
        <w:t>3</w:t>
      </w:r>
      <w:r>
        <w:rPr>
          <w:rFonts w:hint="eastAsia" w:ascii="仿宋_GB2312" w:hAnsi="仿宋" w:eastAsia="仿宋_GB2312"/>
          <w:sz w:val="28"/>
          <w:szCs w:val="28"/>
        </w:rPr>
        <w:t xml:space="preserve"> 乙方收款账户信息：</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账户名：</w:t>
      </w:r>
      <w:r>
        <w:rPr>
          <w:rFonts w:ascii="仿宋_GB2312" w:hAnsi="仿宋" w:eastAsia="仿宋_GB2312"/>
          <w:sz w:val="28"/>
          <w:szCs w:val="28"/>
        </w:rPr>
        <w:t xml:space="preserve"> </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开户行：</w:t>
      </w:r>
      <w:r>
        <w:rPr>
          <w:rFonts w:ascii="仿宋_GB2312" w:hAnsi="仿宋" w:eastAsia="仿宋_GB2312"/>
          <w:sz w:val="28"/>
          <w:szCs w:val="28"/>
        </w:rPr>
        <w:t xml:space="preserve"> </w:t>
      </w:r>
    </w:p>
    <w:p>
      <w:pPr>
        <w:spacing w:line="360" w:lineRule="auto"/>
        <w:ind w:firstLine="560" w:firstLineChars="200"/>
        <w:rPr>
          <w:rFonts w:ascii="仿宋_GB2312" w:hAnsi="宋体" w:eastAsia="仿宋_GB2312" w:cs="宋体"/>
          <w:color w:val="FF0000"/>
          <w:kern w:val="0"/>
          <w:sz w:val="28"/>
          <w:szCs w:val="28"/>
        </w:rPr>
      </w:pPr>
      <w:r>
        <w:rPr>
          <w:rFonts w:hint="eastAsia" w:ascii="仿宋_GB2312" w:hAnsi="仿宋" w:eastAsia="仿宋_GB2312"/>
          <w:sz w:val="28"/>
          <w:szCs w:val="28"/>
        </w:rPr>
        <w:t>账  号：</w:t>
      </w:r>
      <w:r>
        <w:rPr>
          <w:rFonts w:hint="eastAsia" w:ascii="仿宋_GB2312" w:hAnsi="仿宋" w:eastAsia="仿宋_GB2312"/>
          <w:color w:val="FF0000"/>
          <w:sz w:val="28"/>
          <w:szCs w:val="28"/>
        </w:rPr>
        <w:t xml:space="preserve"> </w:t>
      </w:r>
    </w:p>
    <w:p>
      <w:pPr>
        <w:spacing w:line="360" w:lineRule="auto"/>
        <w:rPr>
          <w:rFonts w:ascii="仿宋_GB2312" w:hAnsi="仿宋" w:eastAsia="仿宋_GB2312"/>
          <w:b/>
          <w:sz w:val="28"/>
          <w:szCs w:val="28"/>
        </w:rPr>
      </w:pPr>
      <w:bookmarkStart w:id="155" w:name="_Toc213484701"/>
      <w:bookmarkStart w:id="156" w:name="_Toc251885472"/>
      <w:bookmarkStart w:id="157" w:name="_Toc213484891"/>
      <w:r>
        <w:rPr>
          <w:rFonts w:hint="eastAsia" w:ascii="仿宋_GB2312" w:hAnsi="仿宋" w:eastAsia="仿宋_GB2312"/>
          <w:b/>
          <w:bCs/>
          <w:sz w:val="28"/>
          <w:szCs w:val="28"/>
        </w:rPr>
        <w:t xml:space="preserve">第3条  </w:t>
      </w:r>
      <w:bookmarkEnd w:id="155"/>
      <w:bookmarkEnd w:id="156"/>
      <w:bookmarkEnd w:id="157"/>
      <w:bookmarkStart w:id="158" w:name="_Toc213484892"/>
      <w:bookmarkStart w:id="159" w:name="_Toc213484702"/>
      <w:r>
        <w:rPr>
          <w:rFonts w:hint="eastAsia" w:ascii="仿宋_GB2312" w:hAnsi="仿宋" w:eastAsia="仿宋_GB2312"/>
          <w:b/>
          <w:bCs/>
          <w:sz w:val="28"/>
          <w:szCs w:val="28"/>
        </w:rPr>
        <w:t>甲方责任</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3.</w:t>
      </w:r>
      <w:r>
        <w:rPr>
          <w:rFonts w:ascii="仿宋_GB2312" w:hAnsi="仿宋" w:eastAsia="仿宋_GB2312"/>
          <w:sz w:val="28"/>
          <w:szCs w:val="28"/>
        </w:rPr>
        <w:t>1</w:t>
      </w:r>
      <w:r>
        <w:rPr>
          <w:rFonts w:hint="eastAsia" w:ascii="仿宋_GB2312" w:hAnsi="仿宋" w:eastAsia="仿宋_GB2312"/>
          <w:sz w:val="28"/>
          <w:szCs w:val="28"/>
        </w:rPr>
        <w:t>甲方应按照合同约定支付服务款项。</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3.</w:t>
      </w:r>
      <w:r>
        <w:rPr>
          <w:rFonts w:ascii="仿宋_GB2312" w:hAnsi="仿宋" w:eastAsia="仿宋_GB2312"/>
          <w:sz w:val="28"/>
          <w:szCs w:val="28"/>
        </w:rPr>
        <w:t>2</w:t>
      </w:r>
      <w:r>
        <w:rPr>
          <w:rFonts w:hint="eastAsia" w:ascii="仿宋_GB2312" w:hAnsi="仿宋" w:eastAsia="仿宋_GB2312"/>
          <w:sz w:val="28"/>
          <w:szCs w:val="28"/>
        </w:rPr>
        <w:t>向乙方提供项目实施工作中的必要协助。</w:t>
      </w:r>
      <w:bookmarkEnd w:id="158"/>
      <w:bookmarkEnd w:id="159"/>
      <w:bookmarkStart w:id="160" w:name="_Toc213484705"/>
      <w:bookmarkStart w:id="161" w:name="_Toc213484895"/>
      <w:bookmarkStart w:id="162" w:name="_Toc251885473"/>
    </w:p>
    <w:p>
      <w:pPr>
        <w:spacing w:before="120" w:after="120" w:line="360" w:lineRule="auto"/>
        <w:rPr>
          <w:rFonts w:ascii="仿宋_GB2312" w:hAnsi="仿宋" w:eastAsia="仿宋_GB2312"/>
          <w:b/>
          <w:bCs/>
          <w:sz w:val="28"/>
          <w:szCs w:val="28"/>
        </w:rPr>
      </w:pPr>
      <w:r>
        <w:rPr>
          <w:rFonts w:hint="eastAsia" w:ascii="仿宋_GB2312" w:hAnsi="仿宋" w:eastAsia="仿宋_GB2312"/>
          <w:b/>
          <w:bCs/>
          <w:sz w:val="28"/>
          <w:szCs w:val="28"/>
        </w:rPr>
        <w:t>第</w:t>
      </w:r>
      <w:r>
        <w:rPr>
          <w:rFonts w:ascii="仿宋_GB2312" w:hAnsi="仿宋" w:eastAsia="仿宋_GB2312"/>
          <w:b/>
          <w:bCs/>
          <w:sz w:val="28"/>
          <w:szCs w:val="28"/>
        </w:rPr>
        <w:t>4</w:t>
      </w:r>
      <w:r>
        <w:rPr>
          <w:rFonts w:hint="eastAsia" w:ascii="仿宋_GB2312" w:hAnsi="仿宋" w:eastAsia="仿宋_GB2312"/>
          <w:b/>
          <w:bCs/>
          <w:sz w:val="28"/>
          <w:szCs w:val="28"/>
        </w:rPr>
        <w:t>条 乙方职责</w:t>
      </w:r>
      <w:bookmarkEnd w:id="160"/>
      <w:bookmarkEnd w:id="161"/>
      <w:bookmarkEnd w:id="162"/>
      <w:r>
        <w:rPr>
          <w:rFonts w:hint="eastAsia" w:ascii="仿宋_GB2312" w:hAnsi="仿宋" w:eastAsia="仿宋_GB2312"/>
          <w:b/>
          <w:bCs/>
          <w:sz w:val="28"/>
          <w:szCs w:val="28"/>
        </w:rPr>
        <w:t>：</w:t>
      </w:r>
    </w:p>
    <w:p>
      <w:pPr>
        <w:spacing w:before="120" w:after="120" w:line="360" w:lineRule="auto"/>
        <w:ind w:firstLine="425" w:firstLineChars="152"/>
        <w:rPr>
          <w:rFonts w:ascii="仿宋_GB2312" w:hAnsi="仿宋" w:eastAsia="仿宋_GB2312"/>
          <w:bCs/>
          <w:sz w:val="28"/>
          <w:szCs w:val="28"/>
        </w:rPr>
      </w:pPr>
      <w:r>
        <w:rPr>
          <w:rFonts w:ascii="仿宋_GB2312" w:hAnsi="仿宋" w:eastAsia="仿宋_GB2312"/>
          <w:bCs/>
          <w:sz w:val="28"/>
          <w:szCs w:val="28"/>
        </w:rPr>
        <w:t>乙方</w:t>
      </w:r>
      <w:r>
        <w:rPr>
          <w:rFonts w:hint="eastAsia" w:ascii="仿宋_GB2312" w:hAnsi="仿宋" w:eastAsia="仿宋_GB2312"/>
          <w:bCs/>
          <w:sz w:val="28"/>
          <w:szCs w:val="28"/>
        </w:rPr>
        <w:t>为甲方提供如下服务和技术支持：</w:t>
      </w:r>
    </w:p>
    <w:p>
      <w:pPr>
        <w:numPr>
          <w:ilvl w:val="0"/>
          <w:numId w:val="17"/>
        </w:numPr>
        <w:spacing w:line="360" w:lineRule="auto"/>
        <w:ind w:firstLine="560" w:firstLineChars="200"/>
        <w:rPr>
          <w:rFonts w:ascii="仿宋_GB2312" w:hAnsi="仿宋" w:eastAsia="仿宋_GB2312"/>
          <w:bCs/>
          <w:color w:val="FF0000"/>
          <w:sz w:val="28"/>
          <w:szCs w:val="28"/>
        </w:rPr>
      </w:pPr>
      <w:r>
        <w:rPr>
          <w:rFonts w:hint="eastAsia" w:ascii="仿宋_GB2312" w:hAnsi="仿宋" w:eastAsia="仿宋_GB2312"/>
          <w:bCs/>
          <w:color w:val="FF0000"/>
          <w:sz w:val="28"/>
          <w:szCs w:val="28"/>
        </w:rPr>
        <w:t>项目相关设备设备升级所需配件及安装服务；</w:t>
      </w:r>
    </w:p>
    <w:p>
      <w:pPr>
        <w:numPr>
          <w:ilvl w:val="0"/>
          <w:numId w:val="17"/>
        </w:numPr>
        <w:spacing w:line="360" w:lineRule="auto"/>
        <w:ind w:firstLine="560" w:firstLineChars="200"/>
        <w:rPr>
          <w:rFonts w:ascii="仿宋_GB2312" w:hAnsi="仿宋" w:eastAsia="仿宋_GB2312"/>
          <w:bCs/>
          <w:color w:val="FF0000"/>
          <w:sz w:val="28"/>
          <w:szCs w:val="28"/>
        </w:rPr>
      </w:pPr>
      <w:r>
        <w:rPr>
          <w:rFonts w:hint="eastAsia" w:ascii="仿宋_GB2312" w:hAnsi="仿宋" w:eastAsia="仿宋_GB2312"/>
          <w:bCs/>
          <w:color w:val="FF0000"/>
          <w:sz w:val="28"/>
          <w:szCs w:val="28"/>
        </w:rPr>
        <w:t>项目相关操作系统安装部署服务；</w:t>
      </w:r>
    </w:p>
    <w:p>
      <w:pPr>
        <w:numPr>
          <w:ilvl w:val="0"/>
          <w:numId w:val="17"/>
        </w:numPr>
        <w:spacing w:line="360" w:lineRule="auto"/>
        <w:ind w:firstLine="560" w:firstLineChars="200"/>
        <w:rPr>
          <w:rFonts w:ascii="仿宋_GB2312" w:hAnsi="仿宋" w:eastAsia="仿宋_GB2312"/>
          <w:bCs/>
          <w:color w:val="FF0000"/>
          <w:sz w:val="28"/>
          <w:szCs w:val="28"/>
        </w:rPr>
      </w:pPr>
      <w:r>
        <w:rPr>
          <w:rFonts w:hint="eastAsia" w:ascii="仿宋_GB2312" w:hAnsi="仿宋" w:eastAsia="仿宋_GB2312"/>
          <w:bCs/>
          <w:color w:val="FF0000"/>
          <w:sz w:val="28"/>
          <w:szCs w:val="28"/>
        </w:rPr>
        <w:t>项目相关数据库安装部署服务；</w:t>
      </w:r>
    </w:p>
    <w:p>
      <w:pPr>
        <w:numPr>
          <w:ilvl w:val="0"/>
          <w:numId w:val="17"/>
        </w:numPr>
        <w:spacing w:line="360" w:lineRule="auto"/>
        <w:ind w:firstLine="560" w:firstLineChars="200"/>
        <w:rPr>
          <w:rFonts w:ascii="仿宋_GB2312" w:hAnsi="仿宋" w:eastAsia="仿宋_GB2312"/>
          <w:bCs/>
          <w:color w:val="FF0000"/>
          <w:sz w:val="28"/>
          <w:szCs w:val="28"/>
        </w:rPr>
      </w:pPr>
      <w:r>
        <w:rPr>
          <w:rFonts w:hint="eastAsia" w:ascii="仿宋_GB2312" w:hAnsi="仿宋" w:eastAsia="仿宋_GB2312"/>
          <w:bCs/>
          <w:color w:val="FF0000"/>
          <w:sz w:val="28"/>
          <w:szCs w:val="28"/>
        </w:rPr>
        <w:t>项目相关数据库优化服务；</w:t>
      </w:r>
    </w:p>
    <w:p>
      <w:pPr>
        <w:numPr>
          <w:ilvl w:val="0"/>
          <w:numId w:val="17"/>
        </w:numPr>
        <w:spacing w:line="360" w:lineRule="auto"/>
        <w:ind w:firstLine="560" w:firstLineChars="200"/>
        <w:rPr>
          <w:rFonts w:ascii="仿宋_GB2312" w:hAnsi="仿宋" w:eastAsia="仿宋_GB2312"/>
          <w:bCs/>
          <w:color w:val="FF0000"/>
          <w:sz w:val="28"/>
          <w:szCs w:val="28"/>
        </w:rPr>
      </w:pPr>
      <w:r>
        <w:rPr>
          <w:rFonts w:hint="eastAsia" w:ascii="仿宋_GB2312" w:hAnsi="仿宋" w:eastAsia="仿宋_GB2312"/>
          <w:bCs/>
          <w:color w:val="FF0000"/>
          <w:sz w:val="28"/>
          <w:szCs w:val="28"/>
        </w:rPr>
        <w:t>项目相关集群部署，优化服务；</w:t>
      </w:r>
    </w:p>
    <w:p>
      <w:pPr>
        <w:numPr>
          <w:ilvl w:val="0"/>
          <w:numId w:val="17"/>
        </w:numPr>
        <w:spacing w:line="360" w:lineRule="auto"/>
        <w:ind w:firstLine="560" w:firstLineChars="200"/>
        <w:rPr>
          <w:rFonts w:ascii="仿宋_GB2312" w:hAnsi="仿宋" w:eastAsia="仿宋_GB2312"/>
          <w:bCs/>
          <w:color w:val="FF0000"/>
          <w:sz w:val="28"/>
          <w:szCs w:val="28"/>
        </w:rPr>
      </w:pPr>
      <w:r>
        <w:rPr>
          <w:rFonts w:hint="eastAsia" w:ascii="仿宋_GB2312" w:hAnsi="仿宋" w:eastAsia="仿宋_GB2312"/>
          <w:bCs/>
          <w:color w:val="FF0000"/>
          <w:sz w:val="28"/>
          <w:szCs w:val="28"/>
        </w:rPr>
        <w:t>项目相关数据库集群服务；</w:t>
      </w:r>
    </w:p>
    <w:p>
      <w:pPr>
        <w:numPr>
          <w:ilvl w:val="0"/>
          <w:numId w:val="17"/>
        </w:numPr>
        <w:spacing w:line="360" w:lineRule="auto"/>
        <w:ind w:firstLine="560" w:firstLineChars="200"/>
        <w:rPr>
          <w:rFonts w:ascii="仿宋_GB2312" w:hAnsi="仿宋" w:eastAsia="仿宋_GB2312"/>
          <w:bCs/>
          <w:color w:val="FF0000"/>
          <w:sz w:val="28"/>
          <w:szCs w:val="28"/>
        </w:rPr>
      </w:pPr>
      <w:r>
        <w:rPr>
          <w:rFonts w:hint="eastAsia" w:ascii="仿宋_GB2312" w:hAnsi="仿宋" w:eastAsia="仿宋_GB2312"/>
          <w:bCs/>
          <w:color w:val="FF0000"/>
          <w:sz w:val="28"/>
          <w:szCs w:val="28"/>
        </w:rPr>
        <w:t>项目相关数据库容灾配置服务；</w:t>
      </w:r>
    </w:p>
    <w:p>
      <w:pPr>
        <w:numPr>
          <w:ilvl w:val="0"/>
          <w:numId w:val="17"/>
        </w:numPr>
        <w:spacing w:line="360" w:lineRule="auto"/>
        <w:ind w:firstLine="560" w:firstLineChars="200"/>
        <w:rPr>
          <w:rFonts w:ascii="仿宋_GB2312" w:hAnsi="仿宋" w:eastAsia="仿宋_GB2312"/>
          <w:bCs/>
          <w:color w:val="FF0000"/>
          <w:sz w:val="28"/>
          <w:szCs w:val="28"/>
        </w:rPr>
      </w:pPr>
      <w:r>
        <w:rPr>
          <w:rFonts w:hint="eastAsia" w:ascii="仿宋_GB2312" w:hAnsi="仿宋" w:eastAsia="仿宋_GB2312"/>
          <w:bCs/>
          <w:color w:val="FF0000"/>
          <w:sz w:val="28"/>
          <w:szCs w:val="28"/>
        </w:rPr>
        <w:t>项目相关数据库容灾监控部署服务；</w:t>
      </w:r>
    </w:p>
    <w:p>
      <w:pPr>
        <w:numPr>
          <w:ilvl w:val="0"/>
          <w:numId w:val="17"/>
        </w:numPr>
        <w:spacing w:line="360" w:lineRule="auto"/>
        <w:ind w:firstLine="560" w:firstLineChars="200"/>
        <w:rPr>
          <w:rFonts w:ascii="仿宋_GB2312" w:hAnsi="仿宋" w:eastAsia="仿宋_GB2312"/>
          <w:bCs/>
          <w:color w:val="FF0000"/>
          <w:sz w:val="28"/>
          <w:szCs w:val="28"/>
        </w:rPr>
      </w:pPr>
      <w:r>
        <w:rPr>
          <w:rFonts w:hint="eastAsia" w:ascii="仿宋_GB2312" w:hAnsi="仿宋" w:eastAsia="仿宋_GB2312"/>
          <w:bCs/>
          <w:color w:val="FF0000"/>
          <w:sz w:val="28"/>
          <w:szCs w:val="28"/>
        </w:rPr>
        <w:t>项目相关的规划、实施、维护等文档；</w:t>
      </w:r>
    </w:p>
    <w:p>
      <w:pPr>
        <w:numPr>
          <w:ilvl w:val="0"/>
          <w:numId w:val="17"/>
        </w:numPr>
        <w:spacing w:line="360" w:lineRule="auto"/>
        <w:ind w:firstLine="560" w:firstLineChars="200"/>
        <w:rPr>
          <w:rFonts w:ascii="仿宋_GB2312" w:hAnsi="仿宋" w:eastAsia="仿宋_GB2312"/>
          <w:bCs/>
          <w:color w:val="FF0000"/>
          <w:sz w:val="28"/>
          <w:szCs w:val="28"/>
        </w:rPr>
      </w:pPr>
      <w:r>
        <w:rPr>
          <w:rFonts w:hint="eastAsia" w:ascii="仿宋_GB2312" w:hAnsi="仿宋" w:eastAsia="仿宋_GB2312"/>
          <w:bCs/>
          <w:color w:val="FF0000"/>
          <w:sz w:val="28"/>
          <w:szCs w:val="28"/>
        </w:rPr>
        <w:t>项目相关技术培训服务；</w:t>
      </w:r>
    </w:p>
    <w:p>
      <w:pPr>
        <w:numPr>
          <w:ilvl w:val="0"/>
          <w:numId w:val="17"/>
        </w:numPr>
        <w:spacing w:line="360" w:lineRule="auto"/>
        <w:ind w:firstLine="560" w:firstLineChars="200"/>
        <w:rPr>
          <w:rFonts w:ascii="仿宋_GB2312" w:hAnsi="仿宋" w:eastAsia="仿宋_GB2312"/>
          <w:bCs/>
          <w:color w:val="FF0000"/>
          <w:sz w:val="28"/>
          <w:szCs w:val="28"/>
        </w:rPr>
      </w:pPr>
      <w:r>
        <w:rPr>
          <w:rFonts w:hint="eastAsia" w:ascii="仿宋_GB2312" w:hAnsi="仿宋" w:eastAsia="仿宋_GB2312"/>
          <w:bCs/>
          <w:color w:val="FF0000"/>
          <w:sz w:val="28"/>
          <w:szCs w:val="28"/>
        </w:rPr>
        <w:t>项目相关的主机、集群、数据库、容灾、备份等方面，甲方需要的有利于容灾的其它服务。</w:t>
      </w:r>
    </w:p>
    <w:p>
      <w:pPr>
        <w:spacing w:line="360" w:lineRule="auto"/>
        <w:rPr>
          <w:rFonts w:ascii="仿宋_GB2312" w:hAnsi="仿宋" w:eastAsia="仿宋_GB2312"/>
          <w:b/>
          <w:sz w:val="28"/>
          <w:szCs w:val="28"/>
        </w:rPr>
      </w:pPr>
      <w:bookmarkStart w:id="163" w:name="_Toc251885475"/>
      <w:r>
        <w:rPr>
          <w:rFonts w:hint="eastAsia" w:ascii="仿宋_GB2312" w:hAnsi="仿宋" w:eastAsia="仿宋_GB2312"/>
          <w:b/>
          <w:sz w:val="28"/>
          <w:szCs w:val="28"/>
        </w:rPr>
        <w:t>第5条  保密</w:t>
      </w:r>
      <w:bookmarkEnd w:id="163"/>
    </w:p>
    <w:p>
      <w:pPr>
        <w:spacing w:line="360" w:lineRule="auto"/>
        <w:ind w:firstLine="560" w:firstLineChars="200"/>
        <w:rPr>
          <w:rFonts w:ascii="仿宋_GB2312" w:hAnsi="方正仿宋_GBK" w:eastAsia="仿宋_GB2312"/>
          <w:sz w:val="28"/>
          <w:szCs w:val="28"/>
        </w:rPr>
      </w:pPr>
      <w:r>
        <w:rPr>
          <w:rFonts w:hint="eastAsia" w:ascii="仿宋_GB2312" w:hAnsi="方正仿宋_GBK" w:eastAsia="仿宋_GB2312"/>
          <w:sz w:val="28"/>
          <w:szCs w:val="28"/>
        </w:rPr>
        <w:t>乙方因此同意遵守：</w:t>
      </w:r>
    </w:p>
    <w:p>
      <w:pPr>
        <w:spacing w:line="360" w:lineRule="auto"/>
        <w:ind w:firstLine="560" w:firstLineChars="200"/>
        <w:rPr>
          <w:rFonts w:ascii="仿宋_GB2312" w:hAnsi="方正仿宋_GBK" w:eastAsia="仿宋_GB2312"/>
          <w:sz w:val="28"/>
          <w:szCs w:val="28"/>
        </w:rPr>
      </w:pPr>
      <w:r>
        <w:rPr>
          <w:rFonts w:ascii="仿宋_GB2312" w:hAnsi="方正仿宋_GBK" w:eastAsia="仿宋_GB2312"/>
          <w:sz w:val="28"/>
          <w:szCs w:val="28"/>
        </w:rPr>
        <w:t>5.</w:t>
      </w:r>
      <w:r>
        <w:rPr>
          <w:rFonts w:hint="eastAsia" w:ascii="仿宋_GB2312" w:hAnsi="方正仿宋_GBK" w:eastAsia="仿宋_GB2312"/>
          <w:sz w:val="28"/>
          <w:szCs w:val="28"/>
        </w:rPr>
        <w:t>1 不将获得的信息用做其他任何用途；</w:t>
      </w:r>
    </w:p>
    <w:p>
      <w:pPr>
        <w:spacing w:line="360" w:lineRule="auto"/>
        <w:ind w:firstLine="560" w:firstLineChars="200"/>
        <w:rPr>
          <w:rFonts w:ascii="仿宋_GB2312" w:hAnsi="方正仿宋_GBK" w:eastAsia="仿宋_GB2312"/>
          <w:sz w:val="28"/>
          <w:szCs w:val="28"/>
        </w:rPr>
      </w:pPr>
      <w:r>
        <w:rPr>
          <w:rFonts w:ascii="仿宋_GB2312" w:hAnsi="方正仿宋_GBK" w:eastAsia="仿宋_GB2312"/>
          <w:sz w:val="28"/>
          <w:szCs w:val="28"/>
        </w:rPr>
        <w:t>5.2</w:t>
      </w:r>
      <w:r>
        <w:rPr>
          <w:rFonts w:hint="eastAsia" w:ascii="仿宋_GB2312" w:hAnsi="方正仿宋_GBK" w:eastAsia="仿宋_GB2312"/>
          <w:sz w:val="28"/>
          <w:szCs w:val="28"/>
        </w:rPr>
        <w:t xml:space="preserve"> 不将获得的信息使个人获益或第三方面获益；</w:t>
      </w:r>
    </w:p>
    <w:p>
      <w:pPr>
        <w:spacing w:line="360" w:lineRule="auto"/>
        <w:ind w:firstLine="560" w:firstLineChars="200"/>
        <w:rPr>
          <w:rFonts w:ascii="仿宋_GB2312" w:hAnsi="方正仿宋_GBK" w:eastAsia="仿宋_GB2312"/>
          <w:sz w:val="28"/>
          <w:szCs w:val="28"/>
        </w:rPr>
      </w:pPr>
      <w:r>
        <w:rPr>
          <w:rFonts w:ascii="仿宋_GB2312" w:hAnsi="方正仿宋_GBK" w:eastAsia="仿宋_GB2312"/>
          <w:sz w:val="28"/>
          <w:szCs w:val="28"/>
        </w:rPr>
        <w:t xml:space="preserve">5.3 </w:t>
      </w:r>
      <w:r>
        <w:rPr>
          <w:rFonts w:hint="eastAsia" w:ascii="仿宋_GB2312" w:hAnsi="方正仿宋_GBK" w:eastAsia="仿宋_GB2312"/>
          <w:sz w:val="28"/>
          <w:szCs w:val="28"/>
        </w:rPr>
        <w:t>在未经甲方事先书面许可的情况下，不得将所获信息的任何部分透漏给与本项目无关的第三方。对于同样性质和重要性的信息，甲方将采取同样的措施和态度予以保密。这里所说的同样性质和重要是指任何属于乙方自己的、出于类似原因不希望公布或散发的信息。</w:t>
      </w:r>
    </w:p>
    <w:p>
      <w:pPr>
        <w:spacing w:line="360" w:lineRule="auto"/>
        <w:ind w:firstLine="560" w:firstLineChars="200"/>
        <w:rPr>
          <w:rFonts w:ascii="仿宋_GB2312" w:hAnsi="方正仿宋_GBK" w:eastAsia="仿宋_GB2312"/>
          <w:sz w:val="28"/>
          <w:szCs w:val="28"/>
        </w:rPr>
      </w:pPr>
      <w:r>
        <w:rPr>
          <w:rFonts w:hint="eastAsia" w:ascii="仿宋_GB2312" w:hAnsi="方正仿宋_GBK" w:eastAsia="仿宋_GB2312"/>
          <w:sz w:val="28"/>
          <w:szCs w:val="28"/>
        </w:rPr>
        <w:t>乙方对信息保密和制止信息与个人利益所承担的义务并不包括</w:t>
      </w:r>
    </w:p>
    <w:p>
      <w:pPr>
        <w:spacing w:line="360" w:lineRule="auto"/>
        <w:ind w:firstLine="560" w:firstLineChars="200"/>
        <w:rPr>
          <w:rFonts w:ascii="仿宋_GB2312" w:hAnsi="方正仿宋_GBK" w:eastAsia="仿宋_GB2312"/>
          <w:sz w:val="28"/>
          <w:szCs w:val="28"/>
        </w:rPr>
      </w:pPr>
      <w:r>
        <w:rPr>
          <w:rFonts w:ascii="仿宋_GB2312" w:hAnsi="方正仿宋_GBK" w:eastAsia="仿宋_GB2312"/>
          <w:sz w:val="28"/>
          <w:szCs w:val="28"/>
        </w:rPr>
        <w:t>5.4</w:t>
      </w:r>
      <w:r>
        <w:rPr>
          <w:rFonts w:hint="eastAsia" w:ascii="仿宋_GB2312" w:hAnsi="方正仿宋_GBK" w:eastAsia="仿宋_GB2312"/>
          <w:sz w:val="28"/>
          <w:szCs w:val="28"/>
        </w:rPr>
        <w:t>在由甲方透漏给乙方之前，已经或正在被乙方通过其他渠道（非甲方渠道）知悉的信息。</w:t>
      </w:r>
    </w:p>
    <w:p>
      <w:pPr>
        <w:spacing w:line="360" w:lineRule="auto"/>
        <w:rPr>
          <w:rFonts w:ascii="仿宋_GB2312" w:hAnsi="仿宋" w:eastAsia="仿宋_GB2312"/>
          <w:b/>
          <w:sz w:val="28"/>
          <w:szCs w:val="28"/>
        </w:rPr>
      </w:pPr>
      <w:bookmarkStart w:id="164" w:name="_Toc251885476"/>
      <w:r>
        <w:rPr>
          <w:rFonts w:hint="eastAsia" w:ascii="仿宋_GB2312" w:hAnsi="仿宋" w:eastAsia="仿宋_GB2312"/>
          <w:b/>
          <w:sz w:val="28"/>
          <w:szCs w:val="28"/>
        </w:rPr>
        <w:t>第</w:t>
      </w:r>
      <w:r>
        <w:rPr>
          <w:rFonts w:ascii="仿宋_GB2312" w:hAnsi="仿宋" w:eastAsia="仿宋_GB2312"/>
          <w:b/>
          <w:sz w:val="28"/>
          <w:szCs w:val="28"/>
        </w:rPr>
        <w:t>6</w:t>
      </w:r>
      <w:r>
        <w:rPr>
          <w:rFonts w:hint="eastAsia" w:ascii="仿宋_GB2312" w:hAnsi="仿宋" w:eastAsia="仿宋_GB2312"/>
          <w:b/>
          <w:sz w:val="28"/>
          <w:szCs w:val="28"/>
        </w:rPr>
        <w:t>条  违约责任</w:t>
      </w:r>
      <w:bookmarkEnd w:id="164"/>
    </w:p>
    <w:p>
      <w:pPr>
        <w:spacing w:line="360" w:lineRule="auto"/>
        <w:ind w:firstLine="560" w:firstLineChars="200"/>
        <w:rPr>
          <w:rFonts w:ascii="仿宋_GB2312" w:eastAsia="仿宋_GB2312"/>
          <w:sz w:val="28"/>
          <w:szCs w:val="28"/>
        </w:rPr>
      </w:pPr>
      <w:bookmarkStart w:id="165" w:name="_Toc213484709"/>
      <w:bookmarkStart w:id="166" w:name="_Toc213484899"/>
      <w:bookmarkStart w:id="167" w:name="_Toc251885477"/>
      <w:r>
        <w:rPr>
          <w:rFonts w:hint="eastAsia" w:ascii="仿宋_GB2312" w:eastAsia="仿宋_GB2312"/>
          <w:sz w:val="28"/>
          <w:szCs w:val="28"/>
        </w:rPr>
        <w:t>6.1双方应本着友好合作的态度履行各自合同义务。一方迟延履行己方义务或履行义务不符合本合同规定，守约方有权要求违约方继续履行合同、承担违约责任，要求违约方赔偿其因此受到的损失。依据本合同承担的损失赔偿责任仅限于直接损失赔偿，并且违约金、赔偿金等以本合同价款总额的5</w:t>
      </w:r>
      <w:r>
        <w:rPr>
          <w:rFonts w:ascii="仿宋_GB2312" w:eastAsia="仿宋_GB2312"/>
          <w:sz w:val="28"/>
          <w:szCs w:val="28"/>
        </w:rPr>
        <w:t>%</w:t>
      </w:r>
      <w:r>
        <w:rPr>
          <w:rFonts w:hint="eastAsia" w:ascii="仿宋_GB2312" w:eastAsia="仿宋_GB2312"/>
          <w:sz w:val="28"/>
          <w:szCs w:val="28"/>
        </w:rPr>
        <w:t>为限。</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6.2因乙方</w:t>
      </w:r>
      <w:r>
        <w:rPr>
          <w:rFonts w:ascii="仿宋_GB2312" w:eastAsia="仿宋_GB2312"/>
          <w:sz w:val="28"/>
          <w:szCs w:val="28"/>
        </w:rPr>
        <w:t>原因</w:t>
      </w:r>
      <w:r>
        <w:rPr>
          <w:rFonts w:hint="eastAsia" w:ascii="仿宋_GB2312" w:eastAsia="仿宋_GB2312"/>
          <w:sz w:val="28"/>
          <w:szCs w:val="28"/>
        </w:rPr>
        <w:t xml:space="preserve">乙方未按双方约定的时间提供实施服务的，每逾期一天，甲方有权要求乙方支付合同价款总额的 </w:t>
      </w:r>
      <w:r>
        <w:rPr>
          <w:rFonts w:ascii="仿宋_GB2312" w:eastAsia="仿宋_GB2312"/>
          <w:sz w:val="28"/>
          <w:szCs w:val="28"/>
        </w:rPr>
        <w:t>1</w:t>
      </w:r>
      <w:r>
        <w:rPr>
          <w:rFonts w:hint="eastAsia" w:ascii="仿宋_GB2312" w:eastAsia="仿宋_GB2312"/>
          <w:sz w:val="28"/>
          <w:szCs w:val="28"/>
        </w:rPr>
        <w:t>‰作为违约金。迟延提供服务30天以上，甲方有权终止合同，乙方应向甲方返还甲方已支付价款，并向甲方支付合同总额5%的违约金。</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6.3甲方未按本合同约定的时间向乙方支付合同价款的，每逾期一天，乙方有权要求甲方支付合同价款总额的</w:t>
      </w:r>
      <w:r>
        <w:rPr>
          <w:rFonts w:ascii="仿宋_GB2312" w:eastAsia="仿宋_GB2312"/>
          <w:sz w:val="28"/>
          <w:szCs w:val="28"/>
        </w:rPr>
        <w:t>1</w:t>
      </w:r>
      <w:r>
        <w:rPr>
          <w:rFonts w:hint="eastAsia" w:ascii="仿宋_GB2312" w:eastAsia="仿宋_GB2312"/>
          <w:sz w:val="28"/>
          <w:szCs w:val="28"/>
        </w:rPr>
        <w:t>‰作为违约金，迟延付款达到30天以上，乙方有权单方解除合同，甲方应对乙方已完成工作量进行结算，并向乙方支付合同总额5%的违约金。</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6.4任何一</w:t>
      </w:r>
      <w:r>
        <w:rPr>
          <w:rFonts w:ascii="仿宋_GB2312" w:eastAsia="仿宋_GB2312"/>
          <w:sz w:val="28"/>
          <w:szCs w:val="28"/>
        </w:rPr>
        <w:t>方不得单方面解除合同</w:t>
      </w:r>
      <w:r>
        <w:rPr>
          <w:rFonts w:hint="eastAsia" w:ascii="仿宋_GB2312" w:eastAsia="仿宋_GB2312"/>
          <w:sz w:val="28"/>
          <w:szCs w:val="28"/>
        </w:rPr>
        <w:t>，一</w:t>
      </w:r>
      <w:r>
        <w:rPr>
          <w:rFonts w:ascii="仿宋_GB2312" w:eastAsia="仿宋_GB2312"/>
          <w:sz w:val="28"/>
          <w:szCs w:val="28"/>
        </w:rPr>
        <w:t>方</w:t>
      </w:r>
      <w:r>
        <w:rPr>
          <w:rFonts w:hint="eastAsia" w:ascii="仿宋_GB2312" w:eastAsia="仿宋_GB2312"/>
          <w:sz w:val="28"/>
          <w:szCs w:val="28"/>
        </w:rPr>
        <w:t>要求</w:t>
      </w:r>
      <w:r>
        <w:rPr>
          <w:rFonts w:ascii="仿宋_GB2312" w:eastAsia="仿宋_GB2312"/>
          <w:sz w:val="28"/>
          <w:szCs w:val="28"/>
        </w:rPr>
        <w:t>单方解除合同的，应向</w:t>
      </w:r>
      <w:r>
        <w:rPr>
          <w:rFonts w:hint="eastAsia" w:ascii="仿宋_GB2312" w:eastAsia="仿宋_GB2312"/>
          <w:sz w:val="28"/>
          <w:szCs w:val="28"/>
        </w:rPr>
        <w:t>另</w:t>
      </w:r>
      <w:r>
        <w:rPr>
          <w:rFonts w:ascii="仿宋_GB2312" w:eastAsia="仿宋_GB2312"/>
          <w:sz w:val="28"/>
          <w:szCs w:val="28"/>
        </w:rPr>
        <w:t>一方支付合同总额</w:t>
      </w:r>
      <w:r>
        <w:rPr>
          <w:rFonts w:hint="eastAsia" w:ascii="仿宋_GB2312" w:eastAsia="仿宋_GB2312"/>
          <w:sz w:val="28"/>
          <w:szCs w:val="28"/>
        </w:rPr>
        <w:t>5</w:t>
      </w:r>
      <w:r>
        <w:rPr>
          <w:rFonts w:ascii="仿宋_GB2312" w:eastAsia="仿宋_GB2312"/>
          <w:sz w:val="28"/>
          <w:szCs w:val="28"/>
        </w:rPr>
        <w:t>%的违约金。</w:t>
      </w:r>
    </w:p>
    <w:p>
      <w:pPr>
        <w:spacing w:line="360" w:lineRule="auto"/>
        <w:ind w:firstLine="562" w:firstLineChars="200"/>
        <w:rPr>
          <w:rFonts w:ascii="仿宋_GB2312" w:hAnsi="仿宋" w:eastAsia="仿宋_GB2312"/>
          <w:b/>
          <w:sz w:val="28"/>
          <w:szCs w:val="28"/>
        </w:rPr>
      </w:pPr>
      <w:r>
        <w:rPr>
          <w:rFonts w:hint="eastAsia" w:ascii="仿宋_GB2312" w:hAnsi="仿宋" w:eastAsia="仿宋_GB2312"/>
          <w:b/>
          <w:sz w:val="28"/>
          <w:szCs w:val="28"/>
        </w:rPr>
        <w:t>第</w:t>
      </w:r>
      <w:r>
        <w:rPr>
          <w:rFonts w:ascii="仿宋_GB2312" w:hAnsi="仿宋" w:eastAsia="仿宋_GB2312"/>
          <w:b/>
          <w:sz w:val="28"/>
          <w:szCs w:val="28"/>
        </w:rPr>
        <w:t>7</w:t>
      </w:r>
      <w:r>
        <w:rPr>
          <w:rFonts w:hint="eastAsia" w:ascii="仿宋_GB2312" w:hAnsi="仿宋" w:eastAsia="仿宋_GB2312"/>
          <w:b/>
          <w:sz w:val="28"/>
          <w:szCs w:val="28"/>
        </w:rPr>
        <w:t>条  不可抗力</w:t>
      </w:r>
      <w:bookmarkEnd w:id="165"/>
      <w:bookmarkEnd w:id="166"/>
      <w:bookmarkEnd w:id="167"/>
    </w:p>
    <w:p>
      <w:pPr>
        <w:spacing w:line="360" w:lineRule="auto"/>
        <w:ind w:firstLine="560" w:firstLineChars="200"/>
        <w:rPr>
          <w:rFonts w:ascii="仿宋_GB2312" w:eastAsia="仿宋_GB2312"/>
          <w:sz w:val="28"/>
          <w:szCs w:val="28"/>
        </w:rPr>
      </w:pPr>
      <w:r>
        <w:rPr>
          <w:rFonts w:ascii="仿宋_GB2312" w:eastAsia="仿宋_GB2312"/>
          <w:sz w:val="28"/>
          <w:szCs w:val="28"/>
        </w:rPr>
        <w:t>7</w:t>
      </w:r>
      <w:r>
        <w:rPr>
          <w:rFonts w:hint="eastAsia" w:ascii="仿宋_GB2312" w:eastAsia="仿宋_GB2312"/>
          <w:sz w:val="28"/>
          <w:szCs w:val="28"/>
        </w:rPr>
        <w:t>.1 不可抗力是指不能预见、不能避免并不能克服的客观情况。</w:t>
      </w:r>
    </w:p>
    <w:p>
      <w:pPr>
        <w:spacing w:line="360" w:lineRule="auto"/>
        <w:ind w:firstLine="560" w:firstLineChars="200"/>
        <w:rPr>
          <w:rFonts w:ascii="仿宋_GB2312" w:eastAsia="仿宋_GB2312"/>
          <w:sz w:val="28"/>
          <w:szCs w:val="28"/>
        </w:rPr>
      </w:pPr>
      <w:r>
        <w:rPr>
          <w:rFonts w:ascii="仿宋_GB2312" w:eastAsia="仿宋_GB2312"/>
          <w:sz w:val="28"/>
          <w:szCs w:val="28"/>
        </w:rPr>
        <w:t>7</w:t>
      </w:r>
      <w:r>
        <w:rPr>
          <w:rFonts w:hint="eastAsia" w:ascii="仿宋_GB2312" w:eastAsia="仿宋_GB2312"/>
          <w:sz w:val="28"/>
          <w:szCs w:val="28"/>
        </w:rPr>
        <w:t>.2 任何一方由于不可抗力而影响本合同义务履行时，可根据不可抗力的影响程度和范围延迟或免除履行部分或全部合同义务。但是受不可抗力影响的一方应尽量减小不可抗力引起的延误或其他不利影响，并在不可抗力影响消除后，立即通知对方。任何一方不得因不可抗力造成的延迟而要求调整合同价格。</w:t>
      </w:r>
    </w:p>
    <w:p>
      <w:pPr>
        <w:spacing w:line="360" w:lineRule="auto"/>
        <w:ind w:firstLine="560" w:firstLineChars="200"/>
        <w:rPr>
          <w:rFonts w:ascii="仿宋_GB2312" w:eastAsia="仿宋_GB2312"/>
          <w:sz w:val="28"/>
          <w:szCs w:val="28"/>
        </w:rPr>
      </w:pPr>
      <w:r>
        <w:rPr>
          <w:rFonts w:ascii="仿宋_GB2312" w:eastAsia="仿宋_GB2312"/>
          <w:sz w:val="28"/>
          <w:szCs w:val="28"/>
        </w:rPr>
        <w:t>7</w:t>
      </w:r>
      <w:r>
        <w:rPr>
          <w:rFonts w:hint="eastAsia" w:ascii="仿宋_GB2312" w:eastAsia="仿宋_GB2312"/>
          <w:sz w:val="28"/>
          <w:szCs w:val="28"/>
        </w:rPr>
        <w:t>.3 受到不可抗力影响的一方应在不可抗力事件发生后2周内（含本数），取得有关部门关于发生不可抗力事件的证明文件，并以传真等书面形式提交另一方确认。否则，无权以不可抗力为由要求减轻或免除合同责任。</w:t>
      </w:r>
    </w:p>
    <w:p>
      <w:pPr>
        <w:spacing w:line="360" w:lineRule="auto"/>
        <w:rPr>
          <w:rFonts w:ascii="仿宋_GB2312" w:hAnsi="仿宋" w:eastAsia="仿宋_GB2312"/>
          <w:b/>
          <w:sz w:val="28"/>
          <w:szCs w:val="28"/>
        </w:rPr>
      </w:pPr>
      <w:bookmarkStart w:id="168" w:name="_Toc251885479"/>
      <w:bookmarkStart w:id="169" w:name="_Toc214096453"/>
      <w:r>
        <w:rPr>
          <w:rFonts w:hint="eastAsia" w:ascii="仿宋_GB2312" w:hAnsi="仿宋" w:eastAsia="仿宋_GB2312"/>
          <w:b/>
          <w:sz w:val="28"/>
          <w:szCs w:val="28"/>
        </w:rPr>
        <w:t>第</w:t>
      </w:r>
      <w:r>
        <w:rPr>
          <w:rFonts w:ascii="仿宋_GB2312" w:hAnsi="仿宋" w:eastAsia="仿宋_GB2312"/>
          <w:b/>
          <w:sz w:val="28"/>
          <w:szCs w:val="28"/>
        </w:rPr>
        <w:t>8</w:t>
      </w:r>
      <w:r>
        <w:rPr>
          <w:rFonts w:hint="eastAsia" w:ascii="仿宋_GB2312" w:hAnsi="仿宋" w:eastAsia="仿宋_GB2312"/>
          <w:b/>
          <w:sz w:val="28"/>
          <w:szCs w:val="28"/>
        </w:rPr>
        <w:t>条  适用法律</w:t>
      </w:r>
      <w:bookmarkEnd w:id="168"/>
      <w:bookmarkEnd w:id="169"/>
    </w:p>
    <w:p>
      <w:pPr>
        <w:spacing w:line="360" w:lineRule="auto"/>
        <w:ind w:firstLine="560" w:firstLineChars="200"/>
        <w:rPr>
          <w:rFonts w:ascii="仿宋_GB2312" w:hAnsi="仿宋" w:eastAsia="仿宋_GB2312"/>
          <w:sz w:val="28"/>
          <w:szCs w:val="28"/>
        </w:rPr>
      </w:pPr>
      <w:r>
        <w:rPr>
          <w:rFonts w:hint="eastAsia" w:ascii="仿宋_GB2312" w:eastAsia="仿宋_GB2312"/>
          <w:sz w:val="28"/>
          <w:szCs w:val="28"/>
        </w:rPr>
        <w:t>本合同的订立、解释、履行及争议解决，均适用中华人民共和国法律</w:t>
      </w:r>
      <w:r>
        <w:rPr>
          <w:rFonts w:hint="eastAsia" w:ascii="仿宋_GB2312" w:hAnsi="仿宋" w:eastAsia="仿宋_GB2312"/>
          <w:sz w:val="28"/>
          <w:szCs w:val="28"/>
        </w:rPr>
        <w:t>。</w:t>
      </w:r>
    </w:p>
    <w:p>
      <w:pPr>
        <w:spacing w:line="360" w:lineRule="auto"/>
        <w:rPr>
          <w:rFonts w:ascii="仿宋_GB2312" w:hAnsi="仿宋" w:eastAsia="仿宋_GB2312"/>
          <w:sz w:val="28"/>
          <w:szCs w:val="28"/>
        </w:rPr>
      </w:pPr>
      <w:bookmarkStart w:id="170" w:name="_Toc251885480"/>
      <w:bookmarkStart w:id="171" w:name="_Toc223259740"/>
      <w:r>
        <w:rPr>
          <w:rFonts w:hint="eastAsia" w:ascii="仿宋_GB2312" w:hAnsi="仿宋" w:eastAsia="仿宋_GB2312"/>
          <w:b/>
          <w:sz w:val="28"/>
          <w:szCs w:val="28"/>
        </w:rPr>
        <w:t>第</w:t>
      </w:r>
      <w:r>
        <w:rPr>
          <w:rFonts w:ascii="仿宋_GB2312" w:hAnsi="仿宋" w:eastAsia="仿宋_GB2312"/>
          <w:b/>
          <w:sz w:val="28"/>
          <w:szCs w:val="28"/>
        </w:rPr>
        <w:t>9</w:t>
      </w:r>
      <w:r>
        <w:rPr>
          <w:rFonts w:hint="eastAsia" w:ascii="仿宋_GB2312" w:hAnsi="仿宋" w:eastAsia="仿宋_GB2312"/>
          <w:b/>
          <w:sz w:val="28"/>
          <w:szCs w:val="28"/>
        </w:rPr>
        <w:t>条  争议解决</w:t>
      </w:r>
      <w:bookmarkEnd w:id="170"/>
      <w:bookmarkEnd w:id="171"/>
    </w:p>
    <w:p>
      <w:pPr>
        <w:spacing w:line="360" w:lineRule="auto"/>
        <w:ind w:firstLine="560" w:firstLineChars="200"/>
        <w:rPr>
          <w:rFonts w:ascii="仿宋_GB2312" w:hAnsi="仿宋" w:eastAsia="仿宋_GB2312"/>
          <w:sz w:val="28"/>
          <w:szCs w:val="28"/>
        </w:rPr>
      </w:pPr>
      <w:r>
        <w:rPr>
          <w:rFonts w:ascii="仿宋_GB2312" w:hAnsi="仿宋" w:eastAsia="仿宋_GB2312"/>
          <w:sz w:val="28"/>
          <w:szCs w:val="28"/>
        </w:rPr>
        <w:t>9</w:t>
      </w:r>
      <w:r>
        <w:rPr>
          <w:rFonts w:hint="eastAsia" w:ascii="仿宋_GB2312" w:hAnsi="仿宋" w:eastAsia="仿宋_GB2312"/>
          <w:sz w:val="28"/>
          <w:szCs w:val="28"/>
        </w:rPr>
        <w:t>.1 双方发生争议时，应本着诚实信用原则，通过友好协商解决。</w:t>
      </w:r>
    </w:p>
    <w:p>
      <w:pPr>
        <w:spacing w:line="360" w:lineRule="auto"/>
        <w:ind w:left="210" w:leftChars="100" w:firstLine="280" w:firstLineChars="100"/>
        <w:rPr>
          <w:rFonts w:ascii="仿宋_GB2312" w:hAnsi="仿宋" w:eastAsia="仿宋_GB2312"/>
          <w:sz w:val="28"/>
          <w:szCs w:val="28"/>
        </w:rPr>
      </w:pPr>
      <w:r>
        <w:rPr>
          <w:rFonts w:ascii="仿宋_GB2312" w:hAnsi="仿宋" w:eastAsia="仿宋_GB2312"/>
          <w:sz w:val="28"/>
          <w:szCs w:val="28"/>
        </w:rPr>
        <w:t>9</w:t>
      </w:r>
      <w:r>
        <w:rPr>
          <w:rFonts w:hint="eastAsia" w:ascii="仿宋_GB2312" w:hAnsi="仿宋" w:eastAsia="仿宋_GB2312"/>
          <w:sz w:val="28"/>
          <w:szCs w:val="28"/>
        </w:rPr>
        <w:t>.2 若争议经协商仍无法解决的，应在</w:t>
      </w:r>
      <w:r>
        <w:rPr>
          <w:rFonts w:hint="eastAsia" w:ascii="仿宋_GB2312" w:hAnsi="华文仿宋" w:eastAsia="仿宋_GB2312"/>
          <w:sz w:val="28"/>
          <w:szCs w:val="28"/>
          <w:u w:val="single"/>
        </w:rPr>
        <w:t>石家庄仲裁委员会</w:t>
      </w:r>
      <w:r>
        <w:rPr>
          <w:rFonts w:hint="eastAsia" w:ascii="仿宋_GB2312" w:hAnsi="华文仿宋" w:eastAsia="仿宋_GB2312"/>
          <w:sz w:val="28"/>
          <w:szCs w:val="28"/>
        </w:rPr>
        <w:t>提起仲裁</w:t>
      </w:r>
      <w:r>
        <w:rPr>
          <w:rFonts w:hint="eastAsia" w:ascii="仿宋_GB2312" w:hAnsi="仿宋" w:eastAsia="仿宋_GB2312"/>
          <w:sz w:val="28"/>
          <w:szCs w:val="28"/>
        </w:rPr>
        <w:t>。</w:t>
      </w:r>
    </w:p>
    <w:p>
      <w:pPr>
        <w:spacing w:line="360" w:lineRule="auto"/>
        <w:ind w:left="210" w:leftChars="100" w:firstLine="280" w:firstLineChars="100"/>
        <w:rPr>
          <w:rFonts w:ascii="仿宋_GB2312" w:hAnsi="仿宋" w:eastAsia="仿宋_GB2312"/>
          <w:sz w:val="28"/>
          <w:szCs w:val="28"/>
        </w:rPr>
      </w:pPr>
      <w:r>
        <w:rPr>
          <w:rFonts w:ascii="仿宋_GB2312" w:hAnsi="仿宋" w:eastAsia="仿宋_GB2312"/>
          <w:sz w:val="28"/>
          <w:szCs w:val="28"/>
        </w:rPr>
        <w:t>9</w:t>
      </w:r>
      <w:r>
        <w:rPr>
          <w:rFonts w:hint="eastAsia" w:ascii="仿宋_GB2312" w:hAnsi="仿宋" w:eastAsia="仿宋_GB2312"/>
          <w:sz w:val="28"/>
          <w:szCs w:val="28"/>
        </w:rPr>
        <w:t>.3 在争议解决期间，合同中未涉及争议部分的条款仍须履行。</w:t>
      </w:r>
    </w:p>
    <w:p>
      <w:pPr>
        <w:spacing w:line="360" w:lineRule="auto"/>
        <w:rPr>
          <w:rFonts w:ascii="仿宋_GB2312" w:hAnsi="仿宋" w:eastAsia="仿宋_GB2312"/>
          <w:b/>
          <w:sz w:val="28"/>
          <w:szCs w:val="28"/>
        </w:rPr>
      </w:pPr>
      <w:bookmarkStart w:id="172" w:name="_Toc213484713"/>
      <w:bookmarkStart w:id="173" w:name="_Toc213484903"/>
      <w:bookmarkStart w:id="174" w:name="_Toc251885481"/>
      <w:r>
        <w:rPr>
          <w:rFonts w:hint="eastAsia" w:ascii="仿宋_GB2312" w:hAnsi="仿宋" w:eastAsia="仿宋_GB2312"/>
          <w:b/>
          <w:sz w:val="28"/>
          <w:szCs w:val="28"/>
        </w:rPr>
        <w:t>第1</w:t>
      </w:r>
      <w:r>
        <w:rPr>
          <w:rFonts w:ascii="仿宋_GB2312" w:hAnsi="仿宋" w:eastAsia="仿宋_GB2312"/>
          <w:b/>
          <w:sz w:val="28"/>
          <w:szCs w:val="28"/>
        </w:rPr>
        <w:t>0</w:t>
      </w:r>
      <w:r>
        <w:rPr>
          <w:rFonts w:hint="eastAsia" w:ascii="仿宋_GB2312" w:hAnsi="仿宋" w:eastAsia="仿宋_GB2312"/>
          <w:b/>
          <w:sz w:val="28"/>
          <w:szCs w:val="28"/>
        </w:rPr>
        <w:t>条  合同的续约</w:t>
      </w:r>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合同到期后，甲方要求延续服务项目的，乙方同意延续的，应继续协商并续签合同。</w:t>
      </w:r>
    </w:p>
    <w:p>
      <w:pPr>
        <w:spacing w:line="360" w:lineRule="auto"/>
        <w:rPr>
          <w:rFonts w:ascii="仿宋_GB2312" w:hAnsi="仿宋" w:eastAsia="仿宋_GB2312"/>
          <w:b/>
          <w:sz w:val="28"/>
          <w:szCs w:val="28"/>
        </w:rPr>
      </w:pPr>
      <w:r>
        <w:rPr>
          <w:rFonts w:hint="eastAsia" w:ascii="仿宋_GB2312" w:hAnsi="仿宋" w:eastAsia="仿宋_GB2312"/>
          <w:b/>
          <w:sz w:val="28"/>
          <w:szCs w:val="28"/>
        </w:rPr>
        <w:t>第1</w:t>
      </w:r>
      <w:r>
        <w:rPr>
          <w:rFonts w:ascii="仿宋_GB2312" w:hAnsi="仿宋" w:eastAsia="仿宋_GB2312"/>
          <w:b/>
          <w:sz w:val="28"/>
          <w:szCs w:val="28"/>
        </w:rPr>
        <w:t>1</w:t>
      </w:r>
      <w:r>
        <w:rPr>
          <w:rFonts w:hint="eastAsia" w:ascii="仿宋_GB2312" w:hAnsi="仿宋" w:eastAsia="仿宋_GB2312"/>
          <w:b/>
          <w:sz w:val="28"/>
          <w:szCs w:val="28"/>
        </w:rPr>
        <w:t>条 合同附件</w:t>
      </w:r>
      <w:bookmarkEnd w:id="172"/>
      <w:bookmarkEnd w:id="173"/>
      <w:bookmarkEnd w:id="174"/>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本合同附件、招标文件、投标文件为本合同不可分割的组成部分，与本合同具有同等法律效力。</w:t>
      </w:r>
    </w:p>
    <w:p>
      <w:pPr>
        <w:spacing w:line="360" w:lineRule="auto"/>
        <w:rPr>
          <w:rFonts w:ascii="仿宋_GB2312" w:hAnsi="仿宋" w:eastAsia="仿宋_GB2312"/>
          <w:b/>
          <w:sz w:val="28"/>
          <w:szCs w:val="28"/>
        </w:rPr>
      </w:pPr>
      <w:bookmarkStart w:id="175" w:name="_Toc214096457"/>
      <w:bookmarkStart w:id="176" w:name="_Toc251885484"/>
      <w:bookmarkStart w:id="177" w:name="_Toc213484904"/>
      <w:bookmarkStart w:id="178" w:name="_Toc213484714"/>
      <w:r>
        <w:rPr>
          <w:rFonts w:hint="eastAsia" w:ascii="仿宋_GB2312" w:hAnsi="仿宋" w:eastAsia="仿宋_GB2312"/>
          <w:b/>
          <w:sz w:val="28"/>
          <w:szCs w:val="28"/>
        </w:rPr>
        <w:t>第1</w:t>
      </w:r>
      <w:r>
        <w:rPr>
          <w:rFonts w:ascii="仿宋_GB2312" w:hAnsi="仿宋" w:eastAsia="仿宋_GB2312"/>
          <w:b/>
          <w:sz w:val="28"/>
          <w:szCs w:val="28"/>
        </w:rPr>
        <w:t>2</w:t>
      </w:r>
      <w:r>
        <w:rPr>
          <w:rFonts w:hint="eastAsia" w:ascii="仿宋_GB2312" w:hAnsi="仿宋" w:eastAsia="仿宋_GB2312"/>
          <w:b/>
          <w:sz w:val="28"/>
          <w:szCs w:val="28"/>
        </w:rPr>
        <w:t>条  合同份数</w:t>
      </w:r>
      <w:bookmarkEnd w:id="175"/>
      <w:bookmarkEnd w:id="176"/>
    </w:p>
    <w:p>
      <w:pPr>
        <w:spacing w:line="360" w:lineRule="auto"/>
        <w:ind w:firstLine="560" w:firstLineChars="200"/>
        <w:rPr>
          <w:rFonts w:ascii="仿宋_GB2312" w:hAnsi="仿宋" w:eastAsia="仿宋_GB2312"/>
          <w:sz w:val="28"/>
          <w:szCs w:val="28"/>
        </w:rPr>
      </w:pPr>
      <w:r>
        <w:rPr>
          <w:rFonts w:hint="eastAsia" w:ascii="仿宋_GB2312" w:hAnsi="仿宋" w:eastAsia="仿宋_GB2312"/>
          <w:sz w:val="28"/>
          <w:szCs w:val="28"/>
        </w:rPr>
        <w:t>本合同正本一式</w:t>
      </w:r>
      <w:r>
        <w:rPr>
          <w:rFonts w:hint="eastAsia" w:ascii="仿宋_GB2312" w:hAnsi="仿宋" w:eastAsia="仿宋_GB2312"/>
          <w:sz w:val="28"/>
          <w:szCs w:val="28"/>
          <w:u w:val="single"/>
        </w:rPr>
        <w:t xml:space="preserve"> 肆 </w:t>
      </w:r>
      <w:r>
        <w:rPr>
          <w:rFonts w:hint="eastAsia" w:ascii="仿宋_GB2312" w:hAnsi="仿宋" w:eastAsia="仿宋_GB2312"/>
          <w:sz w:val="28"/>
          <w:szCs w:val="28"/>
        </w:rPr>
        <w:t>份，甲方执</w:t>
      </w:r>
      <w:r>
        <w:rPr>
          <w:rFonts w:hint="eastAsia" w:ascii="仿宋_GB2312" w:hAnsi="仿宋" w:eastAsia="仿宋_GB2312"/>
          <w:sz w:val="28"/>
          <w:szCs w:val="28"/>
          <w:u w:val="single"/>
        </w:rPr>
        <w:t xml:space="preserve"> 贰 </w:t>
      </w:r>
      <w:r>
        <w:rPr>
          <w:rFonts w:hint="eastAsia" w:ascii="仿宋_GB2312" w:hAnsi="仿宋" w:eastAsia="仿宋_GB2312"/>
          <w:sz w:val="28"/>
          <w:szCs w:val="28"/>
        </w:rPr>
        <w:t>份，乙方执</w:t>
      </w:r>
      <w:r>
        <w:rPr>
          <w:rFonts w:hint="eastAsia" w:ascii="仿宋_GB2312" w:hAnsi="仿宋" w:eastAsia="仿宋_GB2312"/>
          <w:sz w:val="28"/>
          <w:szCs w:val="28"/>
          <w:u w:val="single"/>
        </w:rPr>
        <w:t xml:space="preserve"> 贰 </w:t>
      </w:r>
      <w:r>
        <w:rPr>
          <w:rFonts w:hint="eastAsia" w:ascii="仿宋_GB2312" w:hAnsi="仿宋" w:eastAsia="仿宋_GB2312"/>
          <w:sz w:val="28"/>
          <w:szCs w:val="28"/>
        </w:rPr>
        <w:t>份；</w:t>
      </w:r>
      <w:bookmarkEnd w:id="177"/>
      <w:bookmarkEnd w:id="178"/>
      <w:r>
        <w:rPr>
          <w:rFonts w:hint="eastAsia" w:ascii="仿宋_GB2312" w:hAnsi="仿宋" w:eastAsia="仿宋_GB2312"/>
          <w:sz w:val="28"/>
          <w:szCs w:val="28"/>
        </w:rPr>
        <w:t>同样具有法律效力。</w:t>
      </w:r>
    </w:p>
    <w:p>
      <w:pPr>
        <w:spacing w:line="360" w:lineRule="auto"/>
        <w:ind w:firstLine="284"/>
        <w:rPr>
          <w:rFonts w:ascii="仿宋_GB2312" w:hAnsi="宋体" w:eastAsia="仿宋_GB2312" w:cs="宋体"/>
          <w:kern w:val="0"/>
          <w:sz w:val="28"/>
          <w:szCs w:val="28"/>
        </w:rPr>
      </w:pPr>
    </w:p>
    <w:p>
      <w:pPr>
        <w:spacing w:line="360" w:lineRule="auto"/>
        <w:ind w:left="4760" w:hanging="4760" w:hangingChars="1700"/>
        <w:rPr>
          <w:rFonts w:ascii="仿宋_GB2312" w:hAnsi="宋体" w:eastAsia="仿宋_GB2312" w:cs="宋体"/>
          <w:kern w:val="0"/>
          <w:sz w:val="28"/>
          <w:szCs w:val="28"/>
        </w:rPr>
      </w:pPr>
      <w:r>
        <w:rPr>
          <w:rFonts w:hint="eastAsia" w:ascii="仿宋_GB2312" w:hAnsi="宋体" w:eastAsia="仿宋_GB2312" w:cs="宋体"/>
          <w:kern w:val="0"/>
          <w:sz w:val="28"/>
          <w:szCs w:val="28"/>
        </w:rPr>
        <w:t>甲方：北国商城股份有限公司        乙方：</w:t>
      </w:r>
    </w:p>
    <w:p>
      <w:pPr>
        <w:spacing w:line="360" w:lineRule="auto"/>
        <w:rPr>
          <w:rFonts w:ascii="仿宋_GB2312" w:hAnsi="宋体" w:eastAsia="仿宋_GB2312" w:cs="宋体"/>
          <w:kern w:val="0"/>
          <w:sz w:val="28"/>
          <w:szCs w:val="28"/>
        </w:rPr>
      </w:pPr>
      <w:r>
        <w:rPr>
          <w:rFonts w:hint="eastAsia" w:ascii="仿宋_GB2312" w:hAnsi="宋体" w:eastAsia="仿宋_GB2312" w:cs="宋体"/>
          <w:kern w:val="0"/>
          <w:sz w:val="28"/>
          <w:szCs w:val="28"/>
        </w:rPr>
        <w:t xml:space="preserve">地址：                            地址：                                           </w:t>
      </w:r>
    </w:p>
    <w:p>
      <w:pPr>
        <w:spacing w:line="360" w:lineRule="auto"/>
        <w:rPr>
          <w:rFonts w:ascii="仿宋_GB2312" w:hAnsi="宋体" w:eastAsia="仿宋_GB2312" w:cs="宋体"/>
          <w:kern w:val="0"/>
          <w:sz w:val="28"/>
          <w:szCs w:val="28"/>
        </w:rPr>
      </w:pPr>
      <w:r>
        <w:rPr>
          <w:rFonts w:hint="eastAsia" w:ascii="仿宋_GB2312" w:hAnsi="宋体" w:eastAsia="仿宋_GB2312" w:cs="宋体"/>
          <w:kern w:val="0"/>
          <w:sz w:val="28"/>
          <w:szCs w:val="28"/>
        </w:rPr>
        <w:t>开户银行：                         开户行：</w:t>
      </w:r>
      <w:r>
        <w:rPr>
          <w:rFonts w:ascii="仿宋_GB2312" w:hAnsi="宋体" w:eastAsia="仿宋_GB2312" w:cs="宋体"/>
          <w:kern w:val="0"/>
          <w:sz w:val="28"/>
          <w:szCs w:val="28"/>
        </w:rPr>
        <w:t xml:space="preserve"> </w:t>
      </w:r>
    </w:p>
    <w:p>
      <w:pPr>
        <w:spacing w:line="360" w:lineRule="auto"/>
        <w:rPr>
          <w:rFonts w:ascii="仿宋_GB2312" w:hAnsi="宋体" w:eastAsia="仿宋_GB2312" w:cs="宋体"/>
          <w:kern w:val="0"/>
          <w:sz w:val="28"/>
          <w:szCs w:val="28"/>
        </w:rPr>
      </w:pPr>
      <w:r>
        <w:rPr>
          <w:rFonts w:hint="eastAsia" w:ascii="仿宋_GB2312" w:hAnsi="宋体" w:eastAsia="仿宋_GB2312" w:cs="宋体"/>
          <w:kern w:val="0"/>
          <w:sz w:val="28"/>
          <w:szCs w:val="28"/>
        </w:rPr>
        <w:t xml:space="preserve">电话： </w:t>
      </w:r>
      <w:r>
        <w:rPr>
          <w:rFonts w:ascii="仿宋_GB2312" w:hAnsi="宋体" w:eastAsia="仿宋_GB2312" w:cs="宋体"/>
          <w:kern w:val="0"/>
          <w:sz w:val="28"/>
          <w:szCs w:val="28"/>
        </w:rPr>
        <w:t xml:space="preserve">             </w:t>
      </w:r>
      <w:r>
        <w:rPr>
          <w:rFonts w:hint="eastAsia" w:ascii="仿宋_GB2312" w:hAnsi="宋体" w:eastAsia="仿宋_GB2312" w:cs="宋体"/>
          <w:kern w:val="0"/>
          <w:sz w:val="28"/>
          <w:szCs w:val="28"/>
        </w:rPr>
        <w:t xml:space="preserve">              电话：</w:t>
      </w:r>
    </w:p>
    <w:p>
      <w:pPr>
        <w:spacing w:line="360" w:lineRule="auto"/>
        <w:rPr>
          <w:rFonts w:ascii="仿宋_GB2312" w:hAnsi="宋体" w:eastAsia="仿宋_GB2312" w:cs="宋体"/>
          <w:kern w:val="0"/>
          <w:sz w:val="28"/>
          <w:szCs w:val="28"/>
        </w:rPr>
      </w:pPr>
      <w:r>
        <w:rPr>
          <w:rFonts w:hint="eastAsia" w:ascii="仿宋_GB2312" w:hAnsi="宋体" w:eastAsia="仿宋_GB2312" w:cs="宋体"/>
          <w:kern w:val="0"/>
          <w:sz w:val="28"/>
          <w:szCs w:val="28"/>
        </w:rPr>
        <w:t>账号：</w:t>
      </w:r>
      <w:r>
        <w:rPr>
          <w:rFonts w:ascii="仿宋_GB2312" w:hAnsi="宋体" w:eastAsia="仿宋_GB2312" w:cs="宋体"/>
          <w:kern w:val="0"/>
          <w:sz w:val="28"/>
          <w:szCs w:val="28"/>
        </w:rPr>
        <w:t xml:space="preserve">                   </w:t>
      </w:r>
      <w:r>
        <w:rPr>
          <w:rFonts w:hint="eastAsia" w:ascii="仿宋_GB2312" w:hAnsi="宋体" w:eastAsia="仿宋_GB2312" w:cs="宋体"/>
          <w:kern w:val="0"/>
          <w:sz w:val="28"/>
          <w:szCs w:val="28"/>
        </w:rPr>
        <w:t xml:space="preserve">         账号：</w:t>
      </w:r>
    </w:p>
    <w:p>
      <w:pPr>
        <w:spacing w:line="360" w:lineRule="auto"/>
        <w:rPr>
          <w:rFonts w:ascii="仿宋_GB2312" w:hAnsi="宋体" w:eastAsia="仿宋_GB2312" w:cs="宋体"/>
          <w:kern w:val="0"/>
          <w:sz w:val="28"/>
          <w:szCs w:val="28"/>
        </w:rPr>
      </w:pPr>
      <w:r>
        <w:rPr>
          <w:rFonts w:hint="eastAsia" w:ascii="仿宋_GB2312" w:hAnsi="宋体" w:eastAsia="仿宋_GB2312" w:cs="宋体"/>
          <w:kern w:val="0"/>
          <w:sz w:val="28"/>
          <w:szCs w:val="28"/>
        </w:rPr>
        <w:t>法定代表人                         法定代表人</w:t>
      </w:r>
    </w:p>
    <w:p>
      <w:pPr>
        <w:spacing w:line="360" w:lineRule="auto"/>
        <w:rPr>
          <w:rFonts w:ascii="仿宋_GB2312" w:hAnsi="宋体" w:eastAsia="仿宋_GB2312" w:cs="宋体"/>
          <w:kern w:val="0"/>
          <w:sz w:val="28"/>
          <w:szCs w:val="28"/>
        </w:rPr>
      </w:pPr>
      <w:r>
        <w:rPr>
          <w:rFonts w:hint="eastAsia" w:ascii="仿宋_GB2312" w:hAnsi="宋体" w:eastAsia="仿宋_GB2312" w:cs="宋体"/>
          <w:kern w:val="0"/>
          <w:sz w:val="28"/>
          <w:szCs w:val="28"/>
        </w:rPr>
        <w:t>（或授权代表）：                  （或授权代表）：</w:t>
      </w:r>
    </w:p>
    <w:p>
      <w:pPr>
        <w:spacing w:line="360" w:lineRule="auto"/>
        <w:rPr>
          <w:rFonts w:ascii="仿宋_GB2312" w:hAnsi="宋体" w:eastAsia="仿宋_GB2312" w:cs="宋体"/>
          <w:kern w:val="0"/>
          <w:sz w:val="28"/>
          <w:szCs w:val="28"/>
        </w:rPr>
      </w:pPr>
      <w:r>
        <w:rPr>
          <w:rFonts w:hint="eastAsia" w:ascii="仿宋_GB2312" w:hAnsi="宋体" w:eastAsia="仿宋_GB2312" w:cs="宋体"/>
          <w:kern w:val="0"/>
          <w:sz w:val="28"/>
          <w:szCs w:val="28"/>
        </w:rPr>
        <w:t>签署日期：</w:t>
      </w:r>
      <w:r>
        <w:rPr>
          <w:rFonts w:ascii="仿宋_GB2312" w:hAnsi="宋体" w:eastAsia="仿宋_GB2312" w:cs="宋体"/>
          <w:kern w:val="0"/>
          <w:sz w:val="28"/>
          <w:szCs w:val="28"/>
        </w:rPr>
        <w:t xml:space="preserve">    </w:t>
      </w:r>
      <w:r>
        <w:rPr>
          <w:rFonts w:hint="eastAsia" w:ascii="仿宋_GB2312" w:hAnsi="宋体" w:eastAsia="仿宋_GB2312" w:cs="宋体"/>
          <w:kern w:val="0"/>
          <w:sz w:val="28"/>
          <w:szCs w:val="28"/>
        </w:rPr>
        <w:t>年</w:t>
      </w:r>
      <w:r>
        <w:rPr>
          <w:rFonts w:ascii="仿宋_GB2312" w:hAnsi="宋体" w:eastAsia="仿宋_GB2312" w:cs="宋体"/>
          <w:kern w:val="0"/>
          <w:sz w:val="28"/>
          <w:szCs w:val="28"/>
        </w:rPr>
        <w:t xml:space="preserve">   </w:t>
      </w:r>
      <w:r>
        <w:rPr>
          <w:rFonts w:hint="eastAsia" w:ascii="仿宋_GB2312" w:hAnsi="宋体" w:eastAsia="仿宋_GB2312" w:cs="宋体"/>
          <w:kern w:val="0"/>
          <w:sz w:val="28"/>
          <w:szCs w:val="28"/>
        </w:rPr>
        <w:t>月</w:t>
      </w:r>
      <w:r>
        <w:rPr>
          <w:rFonts w:ascii="仿宋_GB2312" w:hAnsi="宋体" w:eastAsia="仿宋_GB2312" w:cs="宋体"/>
          <w:kern w:val="0"/>
          <w:sz w:val="28"/>
          <w:szCs w:val="28"/>
        </w:rPr>
        <w:t xml:space="preserve">   </w:t>
      </w:r>
      <w:r>
        <w:rPr>
          <w:rFonts w:hint="eastAsia" w:ascii="仿宋_GB2312" w:hAnsi="宋体" w:eastAsia="仿宋_GB2312" w:cs="宋体"/>
          <w:kern w:val="0"/>
          <w:sz w:val="28"/>
          <w:szCs w:val="28"/>
        </w:rPr>
        <w:t>日         签署日期：    年   月</w:t>
      </w:r>
      <w:r>
        <w:rPr>
          <w:rFonts w:ascii="仿宋_GB2312" w:hAnsi="宋体" w:eastAsia="仿宋_GB2312" w:cs="宋体"/>
          <w:kern w:val="0"/>
          <w:sz w:val="28"/>
          <w:szCs w:val="28"/>
        </w:rPr>
        <w:t xml:space="preserve">   日</w:t>
      </w:r>
    </w:p>
    <w:p>
      <w:pPr>
        <w:spacing w:line="360" w:lineRule="auto"/>
        <w:rPr>
          <w:rFonts w:ascii="仿宋_GB2312" w:hAnsi="仿宋" w:eastAsia="仿宋_GB2312"/>
          <w:sz w:val="28"/>
          <w:szCs w:val="28"/>
        </w:rPr>
      </w:pPr>
      <w:r>
        <w:rPr>
          <w:rFonts w:hint="eastAsia" w:ascii="仿宋_GB2312" w:hAnsi="仿宋" w:eastAsia="仿宋_GB2312"/>
          <w:sz w:val="28"/>
          <w:szCs w:val="28"/>
        </w:rPr>
        <w:t>（以下无正文）</w:t>
      </w:r>
      <w:r>
        <w:rPr>
          <w:rFonts w:ascii="仿宋_GB2312" w:hAnsi="仿宋" w:eastAsia="仿宋_GB2312"/>
          <w:sz w:val="28"/>
          <w:szCs w:val="28"/>
        </w:rPr>
        <w:br w:type="page"/>
      </w:r>
      <w:r>
        <w:rPr>
          <w:rFonts w:hint="eastAsia" w:ascii="仿宋_GB2312" w:hAnsi="仿宋" w:eastAsia="仿宋_GB2312"/>
          <w:sz w:val="28"/>
          <w:szCs w:val="28"/>
        </w:rPr>
        <w:t>附件一、服务要求</w:t>
      </w:r>
    </w:p>
    <w:p>
      <w:pPr>
        <w:rPr>
          <w:rFonts w:ascii="仿宋_GB2312" w:hAnsi="仿宋" w:eastAsia="仿宋_GB2312"/>
          <w:sz w:val="28"/>
          <w:szCs w:val="28"/>
        </w:rPr>
      </w:pPr>
      <w:r>
        <w:rPr>
          <w:rFonts w:hint="eastAsia" w:ascii="仿宋_GB2312" w:hAnsi="仿宋" w:eastAsia="仿宋_GB2312"/>
          <w:sz w:val="28"/>
          <w:szCs w:val="28"/>
        </w:rPr>
        <w:t>项目相关服务要求：</w:t>
      </w:r>
    </w:p>
    <w:tbl>
      <w:tblPr>
        <w:tblStyle w:val="14"/>
        <w:tblW w:w="8673" w:type="dxa"/>
        <w:tblInd w:w="98" w:type="dxa"/>
        <w:tblLayout w:type="autofit"/>
        <w:tblCellMar>
          <w:top w:w="0" w:type="dxa"/>
          <w:left w:w="108" w:type="dxa"/>
          <w:bottom w:w="0" w:type="dxa"/>
          <w:right w:w="108" w:type="dxa"/>
        </w:tblCellMar>
      </w:tblPr>
      <w:tblGrid>
        <w:gridCol w:w="793"/>
        <w:gridCol w:w="2860"/>
        <w:gridCol w:w="5020"/>
      </w:tblGrid>
      <w:tr>
        <w:tblPrEx>
          <w:tblCellMar>
            <w:top w:w="0" w:type="dxa"/>
            <w:left w:w="108" w:type="dxa"/>
            <w:bottom w:w="0" w:type="dxa"/>
            <w:right w:w="108" w:type="dxa"/>
          </w:tblCellMar>
        </w:tblPrEx>
        <w:trPr>
          <w:trHeight w:val="3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序号</w:t>
            </w:r>
          </w:p>
        </w:tc>
        <w:tc>
          <w:tcPr>
            <w:tcW w:w="2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服务项</w:t>
            </w:r>
          </w:p>
        </w:tc>
        <w:tc>
          <w:tcPr>
            <w:tcW w:w="5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服务内容及要求</w:t>
            </w:r>
          </w:p>
        </w:tc>
      </w:tr>
      <w:tr>
        <w:tblPrEx>
          <w:tblCellMar>
            <w:top w:w="0" w:type="dxa"/>
            <w:left w:w="108" w:type="dxa"/>
            <w:bottom w:w="0" w:type="dxa"/>
            <w:right w:w="108" w:type="dxa"/>
          </w:tblCellMar>
        </w:tblPrEx>
        <w:trPr>
          <w:trHeight w:val="12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4"/>
              </w:rPr>
            </w:pPr>
            <w:r>
              <w:rPr>
                <w:rFonts w:hint="eastAsia" w:ascii="宋体" w:hAnsi="宋体" w:cs="宋体"/>
                <w:color w:val="000000"/>
                <w:kern w:val="0"/>
                <w:sz w:val="24"/>
                <w:lang w:bidi="ar"/>
              </w:rPr>
              <w:t>1</w:t>
            </w:r>
          </w:p>
        </w:tc>
        <w:tc>
          <w:tcPr>
            <w:tcW w:w="2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_GB2312" w:hAnsi="宋体" w:eastAsia="仿宋_GB2312" w:cs="仿宋_GB2312"/>
                <w:color w:val="FF0000"/>
                <w:sz w:val="24"/>
              </w:rPr>
            </w:pPr>
            <w:r>
              <w:rPr>
                <w:rFonts w:ascii="仿宋_GB2312" w:hAnsi="宋体" w:eastAsia="仿宋_GB2312" w:cs="仿宋_GB2312"/>
                <w:color w:val="FF0000"/>
                <w:kern w:val="0"/>
                <w:sz w:val="24"/>
                <w:lang w:bidi="ar"/>
              </w:rPr>
              <w:t>设备设备升级所需配件及安装服务</w:t>
            </w:r>
          </w:p>
        </w:tc>
        <w:tc>
          <w:tcPr>
            <w:tcW w:w="5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1）设备断电安装、搬迁；</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2）防静电防护措施；</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3）配件检验正常；</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4）部件及线路标识；</w:t>
            </w:r>
          </w:p>
        </w:tc>
      </w:tr>
      <w:tr>
        <w:tblPrEx>
          <w:tblCellMar>
            <w:top w:w="0" w:type="dxa"/>
            <w:left w:w="108" w:type="dxa"/>
            <w:bottom w:w="0" w:type="dxa"/>
            <w:right w:w="108" w:type="dxa"/>
          </w:tblCellMar>
        </w:tblPrEx>
        <w:trPr>
          <w:trHeight w:val="21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4"/>
              </w:rPr>
            </w:pPr>
            <w:r>
              <w:rPr>
                <w:rFonts w:hint="eastAsia" w:ascii="宋体" w:hAnsi="宋体" w:cs="宋体"/>
                <w:color w:val="000000"/>
                <w:kern w:val="0"/>
                <w:sz w:val="24"/>
                <w:lang w:bidi="ar"/>
              </w:rPr>
              <w:t>2</w:t>
            </w:r>
          </w:p>
        </w:tc>
        <w:tc>
          <w:tcPr>
            <w:tcW w:w="2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_GB2312" w:hAnsi="宋体" w:eastAsia="仿宋_GB2312" w:cs="仿宋_GB2312"/>
                <w:color w:val="FF0000"/>
                <w:sz w:val="24"/>
              </w:rPr>
            </w:pPr>
            <w:r>
              <w:rPr>
                <w:rFonts w:ascii="仿宋_GB2312" w:hAnsi="宋体" w:eastAsia="仿宋_GB2312" w:cs="仿宋_GB2312"/>
                <w:color w:val="FF0000"/>
                <w:kern w:val="0"/>
                <w:sz w:val="24"/>
                <w:lang w:bidi="ar"/>
              </w:rPr>
              <w:t>操作系统安装部署服务</w:t>
            </w:r>
          </w:p>
        </w:tc>
        <w:tc>
          <w:tcPr>
            <w:tcW w:w="5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1）安装介质准备；</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2）系统规划文档；</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3）工程师现场安装；</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4）基本安全配置；</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5）容灾部署需要的软件包；</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6）优化参数调整；</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7）存储、集群、数据库安装配置；</w:t>
            </w:r>
          </w:p>
        </w:tc>
      </w:tr>
      <w:tr>
        <w:tblPrEx>
          <w:tblCellMar>
            <w:top w:w="0" w:type="dxa"/>
            <w:left w:w="108" w:type="dxa"/>
            <w:bottom w:w="0" w:type="dxa"/>
            <w:right w:w="108" w:type="dxa"/>
          </w:tblCellMar>
        </w:tblPrEx>
        <w:trPr>
          <w:trHeight w:val="21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4"/>
              </w:rPr>
            </w:pPr>
            <w:r>
              <w:rPr>
                <w:rFonts w:hint="eastAsia" w:ascii="宋体" w:hAnsi="宋体" w:cs="宋体"/>
                <w:color w:val="000000"/>
                <w:kern w:val="0"/>
                <w:sz w:val="24"/>
                <w:lang w:bidi="ar"/>
              </w:rPr>
              <w:t>3</w:t>
            </w:r>
          </w:p>
        </w:tc>
        <w:tc>
          <w:tcPr>
            <w:tcW w:w="2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_GB2312" w:hAnsi="宋体" w:eastAsia="仿宋_GB2312" w:cs="仿宋_GB2312"/>
                <w:color w:val="FF0000"/>
                <w:sz w:val="24"/>
              </w:rPr>
            </w:pPr>
            <w:r>
              <w:rPr>
                <w:rFonts w:ascii="仿宋_GB2312" w:hAnsi="宋体" w:eastAsia="仿宋_GB2312" w:cs="仿宋_GB2312"/>
                <w:color w:val="FF0000"/>
                <w:kern w:val="0"/>
                <w:sz w:val="24"/>
                <w:lang w:bidi="ar"/>
              </w:rPr>
              <w:t>数据库安装部署服务</w:t>
            </w:r>
          </w:p>
        </w:tc>
        <w:tc>
          <w:tcPr>
            <w:tcW w:w="5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1）安装介质准备；</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2）数据库规划文档；</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3）工程师现场安装；</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4）基本安全配置；</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5）容灾需要的软件及升级；</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6）优化参数调整；</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7）存储、集群配置；</w:t>
            </w:r>
          </w:p>
        </w:tc>
      </w:tr>
      <w:tr>
        <w:tblPrEx>
          <w:tblCellMar>
            <w:top w:w="0" w:type="dxa"/>
            <w:left w:w="108" w:type="dxa"/>
            <w:bottom w:w="0" w:type="dxa"/>
            <w:right w:w="108" w:type="dxa"/>
          </w:tblCellMar>
        </w:tblPrEx>
        <w:trPr>
          <w:trHeight w:val="15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4"/>
              </w:rPr>
            </w:pPr>
            <w:r>
              <w:rPr>
                <w:rFonts w:hint="eastAsia" w:ascii="宋体" w:hAnsi="宋体" w:cs="宋体"/>
                <w:color w:val="000000"/>
                <w:kern w:val="0"/>
                <w:sz w:val="24"/>
                <w:lang w:bidi="ar"/>
              </w:rPr>
              <w:t>4</w:t>
            </w:r>
          </w:p>
        </w:tc>
        <w:tc>
          <w:tcPr>
            <w:tcW w:w="2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_GB2312" w:hAnsi="宋体" w:eastAsia="仿宋_GB2312" w:cs="仿宋_GB2312"/>
                <w:color w:val="FF0000"/>
                <w:sz w:val="24"/>
              </w:rPr>
            </w:pPr>
            <w:r>
              <w:rPr>
                <w:rFonts w:ascii="仿宋_GB2312" w:hAnsi="宋体" w:eastAsia="仿宋_GB2312" w:cs="仿宋_GB2312"/>
                <w:color w:val="FF0000"/>
                <w:kern w:val="0"/>
                <w:sz w:val="24"/>
                <w:lang w:bidi="ar"/>
              </w:rPr>
              <w:t>数据库优化服务</w:t>
            </w:r>
          </w:p>
        </w:tc>
        <w:tc>
          <w:tcPr>
            <w:tcW w:w="5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1）数据安全保障，需在数据安全情况下进行</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2）根据操作系统配置优化；</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3）数据库存储优化；</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4）数据库内存优化；</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5）可能需要的数据库优化；</w:t>
            </w:r>
          </w:p>
        </w:tc>
      </w:tr>
      <w:tr>
        <w:tblPrEx>
          <w:tblCellMar>
            <w:top w:w="0" w:type="dxa"/>
            <w:left w:w="108" w:type="dxa"/>
            <w:bottom w:w="0" w:type="dxa"/>
            <w:right w:w="108" w:type="dxa"/>
          </w:tblCellMar>
        </w:tblPrEx>
        <w:trPr>
          <w:trHeight w:val="12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4"/>
              </w:rPr>
            </w:pPr>
            <w:r>
              <w:rPr>
                <w:rFonts w:hint="eastAsia" w:ascii="宋体" w:hAnsi="宋体" w:cs="宋体"/>
                <w:color w:val="000000"/>
                <w:kern w:val="0"/>
                <w:sz w:val="24"/>
                <w:lang w:bidi="ar"/>
              </w:rPr>
              <w:t>5</w:t>
            </w:r>
          </w:p>
        </w:tc>
        <w:tc>
          <w:tcPr>
            <w:tcW w:w="2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_GB2312" w:hAnsi="宋体" w:eastAsia="仿宋_GB2312" w:cs="仿宋_GB2312"/>
                <w:color w:val="FF0000"/>
                <w:sz w:val="24"/>
              </w:rPr>
            </w:pPr>
            <w:r>
              <w:rPr>
                <w:rFonts w:ascii="仿宋_GB2312" w:hAnsi="宋体" w:eastAsia="仿宋_GB2312" w:cs="仿宋_GB2312"/>
                <w:color w:val="FF0000"/>
                <w:kern w:val="0"/>
                <w:sz w:val="24"/>
                <w:lang w:bidi="ar"/>
              </w:rPr>
              <w:t>集群部署、优化服务</w:t>
            </w:r>
          </w:p>
        </w:tc>
        <w:tc>
          <w:tcPr>
            <w:tcW w:w="5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1）可靠的集群版本保障；</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2）须有集群部署规划；</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3）须有集群部署文档；</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4）需多场景测试可靠性；</w:t>
            </w:r>
          </w:p>
        </w:tc>
      </w:tr>
      <w:tr>
        <w:tblPrEx>
          <w:tblCellMar>
            <w:top w:w="0" w:type="dxa"/>
            <w:left w:w="108" w:type="dxa"/>
            <w:bottom w:w="0" w:type="dxa"/>
            <w:right w:w="108" w:type="dxa"/>
          </w:tblCellMar>
        </w:tblPrEx>
        <w:trPr>
          <w:trHeight w:val="12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4"/>
              </w:rPr>
            </w:pPr>
            <w:r>
              <w:rPr>
                <w:rFonts w:hint="eastAsia" w:ascii="宋体" w:hAnsi="宋体" w:cs="宋体"/>
                <w:color w:val="000000"/>
                <w:kern w:val="0"/>
                <w:sz w:val="24"/>
                <w:lang w:bidi="ar"/>
              </w:rPr>
              <w:t>6</w:t>
            </w:r>
          </w:p>
        </w:tc>
        <w:tc>
          <w:tcPr>
            <w:tcW w:w="2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_GB2312" w:hAnsi="宋体" w:eastAsia="仿宋_GB2312" w:cs="仿宋_GB2312"/>
                <w:color w:val="FF0000"/>
                <w:sz w:val="24"/>
              </w:rPr>
            </w:pPr>
            <w:r>
              <w:rPr>
                <w:rFonts w:ascii="仿宋_GB2312" w:hAnsi="宋体" w:eastAsia="仿宋_GB2312" w:cs="仿宋_GB2312"/>
                <w:color w:val="FF0000"/>
                <w:kern w:val="0"/>
                <w:sz w:val="24"/>
                <w:lang w:bidi="ar"/>
              </w:rPr>
              <w:t>数据库集群服务</w:t>
            </w:r>
          </w:p>
        </w:tc>
        <w:tc>
          <w:tcPr>
            <w:tcW w:w="5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1）与生产版本一致；</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2）须有集群部署规划；</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3）须有集群部署文档；</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4）需多场景测试可靠性；</w:t>
            </w:r>
          </w:p>
        </w:tc>
      </w:tr>
      <w:tr>
        <w:tblPrEx>
          <w:tblCellMar>
            <w:top w:w="0" w:type="dxa"/>
            <w:left w:w="108" w:type="dxa"/>
            <w:bottom w:w="0" w:type="dxa"/>
            <w:right w:w="108" w:type="dxa"/>
          </w:tblCellMar>
        </w:tblPrEx>
        <w:trPr>
          <w:trHeight w:val="21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4"/>
              </w:rPr>
            </w:pPr>
            <w:r>
              <w:rPr>
                <w:rFonts w:hint="eastAsia" w:ascii="宋体" w:hAnsi="宋体" w:cs="宋体"/>
                <w:color w:val="000000"/>
                <w:kern w:val="0"/>
                <w:sz w:val="24"/>
                <w:lang w:bidi="ar"/>
              </w:rPr>
              <w:t>7</w:t>
            </w:r>
          </w:p>
        </w:tc>
        <w:tc>
          <w:tcPr>
            <w:tcW w:w="2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_GB2312" w:hAnsi="宋体" w:eastAsia="仿宋_GB2312" w:cs="仿宋_GB2312"/>
                <w:color w:val="FF0000"/>
                <w:sz w:val="24"/>
              </w:rPr>
            </w:pPr>
            <w:r>
              <w:rPr>
                <w:rFonts w:ascii="仿宋_GB2312" w:hAnsi="宋体" w:eastAsia="仿宋_GB2312" w:cs="仿宋_GB2312"/>
                <w:color w:val="FF0000"/>
                <w:kern w:val="0"/>
                <w:sz w:val="24"/>
                <w:lang w:bidi="ar"/>
              </w:rPr>
              <w:t>数据库容灾配置服务</w:t>
            </w:r>
          </w:p>
        </w:tc>
        <w:tc>
          <w:tcPr>
            <w:tcW w:w="5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1）数据安全保障，需在数据安全情况下进行；</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2）不影响生产系统正常运行</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3）与生产版本一致；</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4）须有容灾部署规划；</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5）须有容灾部署文档；</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6）需多场景测试可靠性；</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7）数据一致性保障措施；</w:t>
            </w:r>
          </w:p>
        </w:tc>
      </w:tr>
      <w:tr>
        <w:tblPrEx>
          <w:tblCellMar>
            <w:top w:w="0" w:type="dxa"/>
            <w:left w:w="108" w:type="dxa"/>
            <w:bottom w:w="0" w:type="dxa"/>
            <w:right w:w="108" w:type="dxa"/>
          </w:tblCellMar>
        </w:tblPrEx>
        <w:trPr>
          <w:trHeight w:val="12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4"/>
              </w:rPr>
            </w:pPr>
            <w:r>
              <w:rPr>
                <w:rFonts w:hint="eastAsia" w:ascii="宋体" w:hAnsi="宋体" w:cs="宋体"/>
                <w:color w:val="000000"/>
                <w:kern w:val="0"/>
                <w:sz w:val="24"/>
                <w:lang w:bidi="ar"/>
              </w:rPr>
              <w:t>8</w:t>
            </w:r>
          </w:p>
        </w:tc>
        <w:tc>
          <w:tcPr>
            <w:tcW w:w="2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_GB2312" w:hAnsi="宋体" w:eastAsia="仿宋_GB2312" w:cs="仿宋_GB2312"/>
                <w:color w:val="FF0000"/>
                <w:sz w:val="24"/>
              </w:rPr>
            </w:pPr>
            <w:r>
              <w:rPr>
                <w:rFonts w:ascii="仿宋_GB2312" w:hAnsi="宋体" w:eastAsia="仿宋_GB2312" w:cs="仿宋_GB2312"/>
                <w:color w:val="FF0000"/>
                <w:kern w:val="0"/>
                <w:sz w:val="24"/>
                <w:lang w:bidi="ar"/>
              </w:rPr>
              <w:t>数据库容灾监控部署服务</w:t>
            </w:r>
          </w:p>
        </w:tc>
        <w:tc>
          <w:tcPr>
            <w:tcW w:w="5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1）数据安全保障，需在数据安全情况下进行；</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2）不影响生产系统正常运行；</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3）监控数据的及时准确性保障措施；</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4）历史数据存留措施；</w:t>
            </w:r>
          </w:p>
        </w:tc>
      </w:tr>
      <w:tr>
        <w:tblPrEx>
          <w:tblCellMar>
            <w:top w:w="0" w:type="dxa"/>
            <w:left w:w="108" w:type="dxa"/>
            <w:bottom w:w="0" w:type="dxa"/>
            <w:right w:w="108" w:type="dxa"/>
          </w:tblCellMar>
        </w:tblPrEx>
        <w:trPr>
          <w:trHeight w:val="12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4"/>
              </w:rPr>
            </w:pPr>
            <w:r>
              <w:rPr>
                <w:rFonts w:hint="eastAsia" w:ascii="宋体" w:hAnsi="宋体" w:cs="宋体"/>
                <w:color w:val="000000"/>
                <w:kern w:val="0"/>
                <w:sz w:val="24"/>
                <w:lang w:bidi="ar"/>
              </w:rPr>
              <w:t>9</w:t>
            </w:r>
          </w:p>
        </w:tc>
        <w:tc>
          <w:tcPr>
            <w:tcW w:w="2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_GB2312" w:hAnsi="宋体" w:eastAsia="仿宋_GB2312" w:cs="仿宋_GB2312"/>
                <w:color w:val="FF0000"/>
                <w:sz w:val="24"/>
              </w:rPr>
            </w:pPr>
            <w:r>
              <w:rPr>
                <w:rFonts w:ascii="仿宋_GB2312" w:hAnsi="宋体" w:eastAsia="仿宋_GB2312" w:cs="仿宋_GB2312"/>
                <w:color w:val="FF0000"/>
                <w:kern w:val="0"/>
                <w:sz w:val="24"/>
                <w:lang w:bidi="ar"/>
              </w:rPr>
              <w:t>技术培训服务</w:t>
            </w:r>
          </w:p>
        </w:tc>
        <w:tc>
          <w:tcPr>
            <w:tcW w:w="5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1）提交各个文档（实施前：规划文档、实施文档；实施后：实施部署记录，维护文档）</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2）依据文档和所使用技术技术培训文档；</w:t>
            </w:r>
            <w:r>
              <w:rPr>
                <w:rFonts w:hint="eastAsia" w:ascii="宋体" w:hAnsi="宋体" w:cs="宋体"/>
                <w:color w:val="000000"/>
                <w:kern w:val="0"/>
                <w:sz w:val="24"/>
                <w:lang w:bidi="ar"/>
              </w:rPr>
              <w:br w:type="textWrapping"/>
            </w:r>
            <w:r>
              <w:rPr>
                <w:rFonts w:hint="eastAsia" w:ascii="宋体" w:hAnsi="宋体" w:cs="宋体"/>
                <w:color w:val="000000"/>
                <w:kern w:val="0"/>
                <w:sz w:val="24"/>
                <w:lang w:bidi="ar"/>
              </w:rPr>
              <w:t>3）结合培训文档和实际场景进行技术培训；</w:t>
            </w:r>
          </w:p>
        </w:tc>
      </w:tr>
      <w:tr>
        <w:tblPrEx>
          <w:tblCellMar>
            <w:top w:w="0" w:type="dxa"/>
            <w:left w:w="108" w:type="dxa"/>
            <w:bottom w:w="0" w:type="dxa"/>
            <w:right w:w="108" w:type="dxa"/>
          </w:tblCellMar>
        </w:tblPrEx>
        <w:trPr>
          <w:trHeight w:val="600" w:hRule="atLeast"/>
        </w:trPr>
        <w:tc>
          <w:tcPr>
            <w:tcW w:w="79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4"/>
              </w:rPr>
            </w:pPr>
            <w:r>
              <w:rPr>
                <w:rFonts w:hint="eastAsia" w:ascii="宋体" w:hAnsi="宋体" w:cs="宋体"/>
                <w:color w:val="000000"/>
                <w:kern w:val="0"/>
                <w:sz w:val="24"/>
                <w:lang w:bidi="ar"/>
              </w:rPr>
              <w:t>10</w:t>
            </w:r>
          </w:p>
        </w:tc>
        <w:tc>
          <w:tcPr>
            <w:tcW w:w="28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textAlignment w:val="center"/>
              <w:rPr>
                <w:rFonts w:ascii="仿宋_GB2312" w:hAnsi="宋体" w:eastAsia="仿宋_GB2312" w:cs="仿宋_GB2312"/>
                <w:color w:val="FF0000"/>
                <w:sz w:val="24"/>
              </w:rPr>
            </w:pPr>
            <w:r>
              <w:rPr>
                <w:rFonts w:ascii="仿宋_GB2312" w:hAnsi="宋体" w:eastAsia="仿宋_GB2312" w:cs="仿宋_GB2312"/>
                <w:color w:val="FF0000"/>
                <w:kern w:val="0"/>
                <w:sz w:val="24"/>
                <w:lang w:bidi="ar"/>
              </w:rPr>
              <w:t>甲方需要的有利于容灾的其它服务。</w:t>
            </w:r>
          </w:p>
        </w:tc>
        <w:tc>
          <w:tcPr>
            <w:tcW w:w="502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4"/>
              </w:rPr>
            </w:pPr>
            <w:r>
              <w:rPr>
                <w:rFonts w:hint="eastAsia" w:ascii="宋体" w:hAnsi="宋体" w:cs="宋体"/>
                <w:color w:val="000000"/>
                <w:kern w:val="0"/>
                <w:sz w:val="24"/>
                <w:lang w:bidi="ar"/>
              </w:rPr>
              <w:t>根据实施实际情况，需要在实施过程中能够提供其它有利于项目的服务，达到更好容灾效果；</w:t>
            </w:r>
          </w:p>
        </w:tc>
      </w:tr>
    </w:tbl>
    <w:p>
      <w:pPr>
        <w:spacing w:line="360" w:lineRule="auto"/>
        <w:rPr>
          <w:rFonts w:ascii="宋体" w:hAnsi="宋体" w:cs="宋体"/>
          <w:color w:val="000000"/>
          <w:kern w:val="0"/>
          <w:sz w:val="28"/>
          <w:szCs w:val="28"/>
          <w:lang w:bidi="ar"/>
        </w:rPr>
      </w:pPr>
      <w:r>
        <w:rPr>
          <w:rFonts w:hint="eastAsia" w:ascii="宋体" w:hAnsi="宋体" w:cs="宋体"/>
          <w:color w:val="000000"/>
          <w:kern w:val="0"/>
          <w:sz w:val="28"/>
          <w:szCs w:val="28"/>
          <w:lang w:bidi="ar"/>
        </w:rPr>
        <w:t>注：容灾环境不与互联网通讯，全部工作需工程师现场进行；</w:t>
      </w:r>
      <w:r>
        <w:rPr>
          <w:rFonts w:hint="eastAsia" w:ascii="宋体" w:hAnsi="宋体" w:cs="宋体"/>
          <w:color w:val="000000"/>
          <w:kern w:val="0"/>
          <w:sz w:val="28"/>
          <w:szCs w:val="28"/>
          <w:lang w:bidi="ar"/>
        </w:rPr>
        <w:br w:type="textWrapping"/>
      </w:r>
      <w:r>
        <w:rPr>
          <w:rFonts w:hint="eastAsia" w:ascii="宋体" w:hAnsi="宋体" w:cs="宋体"/>
          <w:color w:val="000000"/>
          <w:kern w:val="0"/>
          <w:sz w:val="28"/>
          <w:szCs w:val="28"/>
          <w:lang w:bidi="ar"/>
        </w:rPr>
        <w:t>部署规划和实施文档需提前准备提交，双方确认无误后实施；</w:t>
      </w:r>
    </w:p>
    <w:p>
      <w:pPr>
        <w:spacing w:line="360" w:lineRule="auto"/>
        <w:rPr>
          <w:rFonts w:ascii="仿宋_GB2312" w:hAnsi="仿宋" w:eastAsia="仿宋_GB2312"/>
          <w:sz w:val="28"/>
          <w:szCs w:val="28"/>
        </w:rPr>
      </w:pPr>
      <w:r>
        <w:rPr>
          <w:rFonts w:hint="eastAsia" w:ascii="宋体" w:hAnsi="宋体" w:cs="宋体"/>
          <w:color w:val="000000"/>
          <w:kern w:val="0"/>
          <w:sz w:val="28"/>
          <w:szCs w:val="28"/>
          <w:lang w:bidi="ar"/>
        </w:rPr>
        <w:t>（此部分到此结束）</w:t>
      </w:r>
      <w:r>
        <w:rPr>
          <w:rFonts w:ascii="仿宋_GB2312" w:hAnsi="仿宋" w:eastAsia="仿宋_GB2312"/>
          <w:sz w:val="28"/>
          <w:szCs w:val="28"/>
        </w:rPr>
        <w:br w:type="page"/>
      </w:r>
    </w:p>
    <w:p>
      <w:pPr>
        <w:spacing w:line="360" w:lineRule="auto"/>
        <w:rPr>
          <w:rFonts w:ascii="宋体" w:hAnsi="宋体" w:cs="宋体"/>
          <w:sz w:val="24"/>
        </w:rPr>
      </w:pPr>
      <w:r>
        <w:rPr>
          <w:rFonts w:hint="eastAsia" w:ascii="宋体" w:hAnsi="宋体" w:cs="宋体"/>
          <w:sz w:val="24"/>
        </w:rPr>
        <w:t>附件二、技术规范</w:t>
      </w:r>
    </w:p>
    <w:p>
      <w:pPr>
        <w:spacing w:line="360" w:lineRule="auto"/>
        <w:jc w:val="center"/>
        <w:rPr>
          <w:rFonts w:ascii="宋体" w:hAnsi="宋体" w:cs="宋体"/>
          <w:sz w:val="24"/>
        </w:rPr>
      </w:pPr>
      <w:r>
        <w:rPr>
          <w:rFonts w:hint="eastAsia" w:ascii="宋体" w:hAnsi="宋体" w:cs="宋体"/>
          <w:sz w:val="24"/>
        </w:rPr>
        <w:t>项目相关技术规范</w:t>
      </w:r>
    </w:p>
    <w:p>
      <w:pPr>
        <w:spacing w:line="360" w:lineRule="auto"/>
        <w:ind w:firstLine="360" w:firstLineChars="150"/>
        <w:rPr>
          <w:rFonts w:ascii="宋体" w:hAnsi="宋体" w:cs="宋体"/>
          <w:sz w:val="24"/>
        </w:rPr>
      </w:pPr>
      <w:r>
        <w:rPr>
          <w:rFonts w:hint="eastAsia" w:ascii="宋体" w:hAnsi="宋体" w:cs="宋体"/>
          <w:sz w:val="24"/>
        </w:rPr>
        <w:t>为项目顺利进行，实现项目目标，要求项目技术规范如下：</w:t>
      </w:r>
    </w:p>
    <w:p>
      <w:pPr>
        <w:spacing w:line="360" w:lineRule="auto"/>
        <w:ind w:firstLine="360" w:firstLineChars="150"/>
        <w:rPr>
          <w:rFonts w:ascii="宋体" w:hAnsi="宋体" w:cs="宋体"/>
          <w:sz w:val="24"/>
        </w:rPr>
      </w:pPr>
    </w:p>
    <w:p>
      <w:pPr>
        <w:numPr>
          <w:ilvl w:val="0"/>
          <w:numId w:val="18"/>
        </w:numPr>
        <w:spacing w:line="360" w:lineRule="auto"/>
        <w:ind w:firstLine="360"/>
        <w:rPr>
          <w:rFonts w:ascii="宋体" w:hAnsi="宋体" w:cs="宋体"/>
          <w:sz w:val="24"/>
        </w:rPr>
      </w:pPr>
      <w:r>
        <w:rPr>
          <w:rFonts w:hint="eastAsia" w:ascii="宋体" w:hAnsi="宋体" w:cs="宋体"/>
          <w:sz w:val="24"/>
        </w:rPr>
        <w:t>风险管控规范</w:t>
      </w:r>
    </w:p>
    <w:p>
      <w:pPr>
        <w:spacing w:line="360" w:lineRule="auto"/>
        <w:ind w:firstLine="360" w:firstLineChars="150"/>
        <w:rPr>
          <w:rFonts w:ascii="宋体" w:hAnsi="宋体" w:cs="宋体"/>
          <w:sz w:val="24"/>
        </w:rPr>
      </w:pPr>
      <w:r>
        <w:rPr>
          <w:rFonts w:hint="eastAsia" w:ascii="宋体" w:hAnsi="宋体" w:cs="宋体"/>
          <w:sz w:val="24"/>
        </w:rPr>
        <w:t xml:space="preserve"> 项目过程中，须保证生产系统运行稳定，不允许进行影响系统正常运行的风险操作；</w:t>
      </w:r>
    </w:p>
    <w:p>
      <w:pPr>
        <w:spacing w:line="360" w:lineRule="auto"/>
        <w:ind w:firstLine="360" w:firstLineChars="150"/>
        <w:rPr>
          <w:rFonts w:ascii="宋体" w:hAnsi="宋体" w:cs="宋体"/>
          <w:sz w:val="24"/>
        </w:rPr>
      </w:pPr>
      <w:r>
        <w:rPr>
          <w:rFonts w:hint="eastAsia" w:ascii="宋体" w:hAnsi="宋体" w:cs="宋体"/>
          <w:sz w:val="24"/>
        </w:rPr>
        <w:t>项目过程中，须保证数据安全，不允许进行影响数据准确性和安全性的风险操作；</w:t>
      </w:r>
    </w:p>
    <w:p>
      <w:pPr>
        <w:spacing w:line="360" w:lineRule="auto"/>
        <w:ind w:firstLine="360" w:firstLineChars="150"/>
        <w:rPr>
          <w:rFonts w:ascii="宋体" w:hAnsi="宋体" w:cs="宋体"/>
          <w:sz w:val="24"/>
        </w:rPr>
      </w:pPr>
      <w:r>
        <w:rPr>
          <w:rFonts w:hint="eastAsia" w:ascii="宋体" w:hAnsi="宋体" w:cs="宋体"/>
          <w:sz w:val="24"/>
        </w:rPr>
        <w:t>项目过程中，对生产端调整须像甲方提供调整文档，经甲方同意后方可执行；</w:t>
      </w:r>
    </w:p>
    <w:p>
      <w:pPr>
        <w:numPr>
          <w:ilvl w:val="0"/>
          <w:numId w:val="18"/>
        </w:numPr>
        <w:spacing w:line="360" w:lineRule="auto"/>
        <w:ind w:firstLine="360"/>
        <w:rPr>
          <w:rFonts w:ascii="宋体" w:hAnsi="宋体" w:cs="宋体"/>
          <w:sz w:val="24"/>
        </w:rPr>
      </w:pPr>
      <w:r>
        <w:rPr>
          <w:rFonts w:hint="eastAsia" w:ascii="宋体" w:hAnsi="宋体" w:cs="宋体"/>
          <w:sz w:val="24"/>
        </w:rPr>
        <w:t>项目技术管控</w:t>
      </w:r>
    </w:p>
    <w:p>
      <w:pPr>
        <w:spacing w:line="360" w:lineRule="auto"/>
        <w:ind w:firstLine="360" w:firstLineChars="150"/>
        <w:rPr>
          <w:rFonts w:ascii="宋体" w:hAnsi="宋体" w:cs="宋体"/>
          <w:sz w:val="24"/>
        </w:rPr>
      </w:pPr>
      <w:r>
        <w:rPr>
          <w:rFonts w:hint="eastAsia" w:ascii="宋体" w:hAnsi="宋体" w:cs="宋体"/>
          <w:sz w:val="24"/>
        </w:rPr>
        <w:t>项目过程中需保证使用产品的可靠性、稳定性、安全性，不得使用没有授权的软件；</w:t>
      </w:r>
    </w:p>
    <w:p>
      <w:pPr>
        <w:spacing w:line="360" w:lineRule="auto"/>
        <w:ind w:firstLine="360" w:firstLineChars="150"/>
        <w:rPr>
          <w:rFonts w:ascii="宋体" w:hAnsi="宋体" w:cs="宋体"/>
          <w:sz w:val="24"/>
        </w:rPr>
      </w:pPr>
      <w:r>
        <w:rPr>
          <w:rFonts w:hint="eastAsia" w:ascii="宋体" w:hAnsi="宋体" w:cs="宋体"/>
          <w:sz w:val="24"/>
        </w:rPr>
        <w:t>项目过程中需保证项目技术严谨，项目实施过程中需提前提供规划文档、技术文档等，验证文档可用性后方可实施；</w:t>
      </w:r>
    </w:p>
    <w:p>
      <w:pPr>
        <w:spacing w:line="360" w:lineRule="auto"/>
        <w:ind w:left="315" w:leftChars="150"/>
        <w:rPr>
          <w:rFonts w:ascii="仿宋_GB2312" w:hAnsi="仿宋" w:eastAsia="仿宋_GB2312"/>
          <w:sz w:val="28"/>
          <w:szCs w:val="28"/>
        </w:rPr>
      </w:pPr>
      <w:r>
        <w:rPr>
          <w:rFonts w:hint="eastAsia" w:ascii="宋体" w:hAnsi="宋体" w:cs="宋体"/>
          <w:color w:val="000000"/>
          <w:kern w:val="0"/>
          <w:sz w:val="24"/>
          <w:lang w:bidi="ar"/>
        </w:rPr>
        <w:t>（此部分到此结束）</w:t>
      </w:r>
    </w:p>
    <w:p>
      <w:pPr>
        <w:spacing w:line="360" w:lineRule="auto"/>
        <w:rPr>
          <w:rFonts w:ascii="仿宋_GB2312" w:hAnsi="仿宋" w:eastAsia="仿宋_GB2312"/>
          <w:sz w:val="28"/>
          <w:szCs w:val="28"/>
        </w:rPr>
      </w:pPr>
      <w:r>
        <w:rPr>
          <w:rFonts w:hint="eastAsia" w:ascii="仿宋_GB2312" w:hAnsi="仿宋" w:eastAsia="仿宋_GB2312"/>
          <w:sz w:val="28"/>
          <w:szCs w:val="28"/>
        </w:rPr>
        <w:br w:type="page"/>
      </w:r>
    </w:p>
    <w:p>
      <w:pPr>
        <w:spacing w:line="360" w:lineRule="auto"/>
        <w:rPr>
          <w:rFonts w:ascii="仿宋_GB2312" w:hAnsi="仿宋" w:eastAsia="仿宋_GB2312"/>
          <w:sz w:val="28"/>
          <w:szCs w:val="28"/>
        </w:rPr>
      </w:pPr>
      <w:r>
        <w:rPr>
          <w:rFonts w:hint="eastAsia" w:ascii="仿宋_GB2312" w:hAnsi="仿宋" w:eastAsia="仿宋_GB2312"/>
          <w:sz w:val="28"/>
          <w:szCs w:val="28"/>
        </w:rPr>
        <w:t>附件三</w:t>
      </w:r>
    </w:p>
    <w:p>
      <w:pPr>
        <w:spacing w:line="360" w:lineRule="auto"/>
        <w:jc w:val="center"/>
        <w:rPr>
          <w:rFonts w:ascii="仿宋_GB2312" w:hAnsi="仿宋" w:eastAsia="仿宋_GB2312"/>
          <w:sz w:val="28"/>
          <w:szCs w:val="28"/>
        </w:rPr>
      </w:pPr>
      <w:r>
        <w:rPr>
          <w:rFonts w:hint="eastAsia" w:ascii="仿宋_GB2312" w:hAnsi="仿宋" w:eastAsia="仿宋_GB2312"/>
          <w:sz w:val="28"/>
          <w:szCs w:val="28"/>
        </w:rPr>
        <w:t>验收标准</w:t>
      </w:r>
    </w:p>
    <w:tbl>
      <w:tblPr>
        <w:tblStyle w:val="14"/>
        <w:tblW w:w="8890" w:type="dxa"/>
        <w:tblInd w:w="98" w:type="dxa"/>
        <w:tblLayout w:type="autofit"/>
        <w:tblCellMar>
          <w:top w:w="0" w:type="dxa"/>
          <w:left w:w="108" w:type="dxa"/>
          <w:bottom w:w="0" w:type="dxa"/>
          <w:right w:w="108" w:type="dxa"/>
        </w:tblCellMar>
      </w:tblPr>
      <w:tblGrid>
        <w:gridCol w:w="505"/>
        <w:gridCol w:w="939"/>
        <w:gridCol w:w="3030"/>
        <w:gridCol w:w="4416"/>
      </w:tblGrid>
      <w:tr>
        <w:tblPrEx>
          <w:tblCellMar>
            <w:top w:w="0" w:type="dxa"/>
            <w:left w:w="108" w:type="dxa"/>
            <w:bottom w:w="0" w:type="dxa"/>
            <w:right w:w="108" w:type="dxa"/>
          </w:tblCellMar>
        </w:tblPrEx>
        <w:trPr>
          <w:trHeight w:val="2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jc w:val="center"/>
              <w:textAlignment w:val="bottom"/>
              <w:rPr>
                <w:rFonts w:ascii="宋体" w:hAnsi="宋体" w:cs="宋体"/>
                <w:b/>
                <w:bCs/>
                <w:color w:val="000000"/>
                <w:szCs w:val="21"/>
              </w:rPr>
            </w:pPr>
            <w:r>
              <w:rPr>
                <w:rFonts w:hint="eastAsia" w:ascii="宋体" w:hAnsi="宋体" w:cs="宋体"/>
                <w:b/>
                <w:bCs/>
                <w:color w:val="000000"/>
                <w:kern w:val="0"/>
                <w:szCs w:val="21"/>
                <w:lang w:bidi="ar"/>
              </w:rPr>
              <w:t>序号</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jc w:val="left"/>
              <w:textAlignment w:val="bottom"/>
              <w:rPr>
                <w:rFonts w:ascii="宋体" w:hAnsi="宋体" w:cs="宋体"/>
                <w:b/>
                <w:bCs/>
                <w:color w:val="000000"/>
                <w:szCs w:val="21"/>
              </w:rPr>
            </w:pPr>
            <w:r>
              <w:rPr>
                <w:rFonts w:hint="eastAsia" w:ascii="宋体" w:hAnsi="宋体" w:cs="宋体"/>
                <w:b/>
                <w:bCs/>
                <w:color w:val="000000"/>
                <w:kern w:val="0"/>
                <w:szCs w:val="21"/>
                <w:lang w:bidi="ar"/>
              </w:rPr>
              <w:t>内容</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jc w:val="left"/>
              <w:textAlignment w:val="bottom"/>
              <w:rPr>
                <w:rFonts w:ascii="宋体" w:hAnsi="宋体" w:cs="宋体"/>
                <w:b/>
                <w:bCs/>
                <w:color w:val="000000"/>
                <w:szCs w:val="21"/>
              </w:rPr>
            </w:pPr>
            <w:r>
              <w:rPr>
                <w:rFonts w:hint="eastAsia" w:ascii="宋体" w:hAnsi="宋体" w:cs="宋体"/>
                <w:b/>
                <w:bCs/>
                <w:color w:val="000000"/>
                <w:kern w:val="0"/>
                <w:szCs w:val="21"/>
                <w:lang w:bidi="ar"/>
              </w:rPr>
              <w:t>验收标准</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jc w:val="center"/>
              <w:textAlignment w:val="bottom"/>
              <w:rPr>
                <w:rFonts w:ascii="宋体" w:hAnsi="宋体" w:cs="宋体"/>
                <w:b/>
                <w:bCs/>
                <w:color w:val="000000"/>
                <w:szCs w:val="21"/>
              </w:rPr>
            </w:pPr>
            <w:r>
              <w:rPr>
                <w:rFonts w:hint="eastAsia" w:ascii="宋体" w:hAnsi="宋体" w:cs="宋体"/>
                <w:b/>
                <w:bCs/>
                <w:color w:val="000000"/>
                <w:kern w:val="0"/>
                <w:szCs w:val="21"/>
                <w:lang w:bidi="ar"/>
              </w:rPr>
              <w:t>说明</w:t>
            </w:r>
          </w:p>
        </w:tc>
      </w:tr>
      <w:tr>
        <w:tblPrEx>
          <w:tblCellMar>
            <w:top w:w="0" w:type="dxa"/>
            <w:left w:w="108" w:type="dxa"/>
            <w:bottom w:w="0" w:type="dxa"/>
            <w:right w:w="108" w:type="dxa"/>
          </w:tblCellMar>
        </w:tblPrEx>
        <w:trPr>
          <w:trHeight w:val="280" w:hRule="atLeast"/>
        </w:trPr>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textAlignment w:val="center"/>
              <w:rPr>
                <w:rFonts w:ascii="宋体" w:hAnsi="宋体" w:cs="宋体"/>
                <w:color w:val="000000"/>
                <w:szCs w:val="21"/>
              </w:rPr>
            </w:pPr>
            <w:r>
              <w:rPr>
                <w:rFonts w:hint="eastAsia" w:ascii="宋体" w:hAnsi="宋体" w:cs="宋体"/>
                <w:color w:val="000000"/>
                <w:kern w:val="0"/>
                <w:szCs w:val="21"/>
                <w:lang w:bidi="ar"/>
              </w:rPr>
              <w:t>1</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textAlignment w:val="center"/>
              <w:rPr>
                <w:rFonts w:ascii="宋体" w:hAnsi="宋体" w:cs="宋体"/>
                <w:color w:val="000000"/>
                <w:szCs w:val="21"/>
              </w:rPr>
            </w:pPr>
            <w:r>
              <w:rPr>
                <w:rFonts w:hint="eastAsia" w:ascii="宋体" w:hAnsi="宋体" w:cs="宋体"/>
                <w:color w:val="000000"/>
                <w:kern w:val="0"/>
                <w:szCs w:val="21"/>
                <w:lang w:bidi="ar"/>
              </w:rPr>
              <w:t>HBA卡部分</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1）识别存储卷正常，路径正常</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textAlignment w:val="bottom"/>
              <w:rPr>
                <w:rFonts w:ascii="宋体" w:hAnsi="宋体" w:cs="宋体"/>
                <w:color w:val="000000"/>
                <w:szCs w:val="21"/>
              </w:rPr>
            </w:pPr>
            <w:r>
              <w:rPr>
                <w:rFonts w:hint="eastAsia" w:ascii="宋体" w:hAnsi="宋体" w:cs="宋体"/>
                <w:color w:val="000000"/>
                <w:kern w:val="0"/>
                <w:szCs w:val="21"/>
                <w:lang w:bidi="ar"/>
              </w:rPr>
              <w:t>检查存储卷状态</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2）端口速率16Gb</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textAlignment w:val="bottom"/>
              <w:rPr>
                <w:rFonts w:ascii="宋体" w:hAnsi="宋体" w:cs="宋体"/>
                <w:color w:val="000000"/>
                <w:szCs w:val="21"/>
              </w:rPr>
            </w:pPr>
            <w:r>
              <w:rPr>
                <w:rFonts w:hint="eastAsia" w:ascii="宋体" w:hAnsi="宋体" w:cs="宋体"/>
                <w:color w:val="000000"/>
                <w:kern w:val="0"/>
                <w:szCs w:val="21"/>
                <w:lang w:bidi="ar"/>
              </w:rPr>
              <w:t>检查并测试端口速率</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3）光纤链路切换正常</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textAlignment w:val="bottom"/>
              <w:rPr>
                <w:rFonts w:ascii="宋体" w:hAnsi="宋体" w:cs="宋体"/>
                <w:color w:val="000000"/>
                <w:szCs w:val="21"/>
              </w:rPr>
            </w:pPr>
            <w:r>
              <w:rPr>
                <w:rFonts w:hint="eastAsia" w:ascii="宋体" w:hAnsi="宋体" w:cs="宋体"/>
                <w:color w:val="000000"/>
                <w:kern w:val="0"/>
                <w:szCs w:val="21"/>
                <w:lang w:bidi="ar"/>
              </w:rPr>
              <w:t>链路切换测试</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4）无存储及链路报错</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textAlignment w:val="bottom"/>
              <w:rPr>
                <w:rFonts w:ascii="宋体" w:hAnsi="宋体" w:cs="宋体"/>
                <w:color w:val="000000"/>
                <w:szCs w:val="21"/>
              </w:rPr>
            </w:pPr>
            <w:r>
              <w:rPr>
                <w:rFonts w:hint="eastAsia" w:ascii="宋体" w:hAnsi="宋体" w:cs="宋体"/>
                <w:color w:val="000000"/>
                <w:kern w:val="0"/>
                <w:szCs w:val="21"/>
                <w:lang w:bidi="ar"/>
              </w:rPr>
              <w:t>系统日志检查</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5）文件系统测试</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textAlignment w:val="bottom"/>
              <w:rPr>
                <w:rFonts w:ascii="宋体" w:hAnsi="宋体" w:cs="宋体"/>
                <w:color w:val="000000"/>
                <w:szCs w:val="21"/>
              </w:rPr>
            </w:pPr>
            <w:r>
              <w:rPr>
                <w:rFonts w:hint="eastAsia" w:ascii="宋体" w:hAnsi="宋体" w:cs="宋体"/>
                <w:color w:val="000000"/>
                <w:kern w:val="0"/>
                <w:szCs w:val="21"/>
                <w:lang w:bidi="ar"/>
              </w:rPr>
              <w:t>状态和速率测试</w:t>
            </w:r>
          </w:p>
        </w:tc>
      </w:tr>
      <w:tr>
        <w:tblPrEx>
          <w:tblCellMar>
            <w:top w:w="0" w:type="dxa"/>
            <w:left w:w="108" w:type="dxa"/>
            <w:bottom w:w="0" w:type="dxa"/>
            <w:right w:w="108" w:type="dxa"/>
          </w:tblCellMar>
        </w:tblPrEx>
        <w:trPr>
          <w:trHeight w:val="280" w:hRule="atLeast"/>
        </w:trPr>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textAlignment w:val="center"/>
              <w:rPr>
                <w:rFonts w:ascii="宋体" w:hAnsi="宋体" w:cs="宋体"/>
                <w:color w:val="000000"/>
                <w:szCs w:val="21"/>
              </w:rPr>
            </w:pPr>
            <w:r>
              <w:rPr>
                <w:rFonts w:hint="eastAsia" w:ascii="宋体" w:hAnsi="宋体" w:cs="宋体"/>
                <w:color w:val="000000"/>
                <w:kern w:val="0"/>
                <w:szCs w:val="21"/>
                <w:lang w:bidi="ar"/>
              </w:rPr>
              <w:t>2</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textAlignment w:val="center"/>
              <w:rPr>
                <w:rFonts w:ascii="宋体" w:hAnsi="宋体" w:cs="宋体"/>
                <w:color w:val="000000"/>
                <w:szCs w:val="21"/>
              </w:rPr>
            </w:pPr>
            <w:r>
              <w:rPr>
                <w:rFonts w:hint="eastAsia" w:ascii="宋体" w:hAnsi="宋体" w:cs="宋体"/>
                <w:color w:val="000000"/>
                <w:kern w:val="0"/>
                <w:szCs w:val="21"/>
                <w:lang w:bidi="ar"/>
              </w:rPr>
              <w:t>内存</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1）256G内存容量</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textAlignment w:val="bottom"/>
              <w:rPr>
                <w:rFonts w:ascii="宋体" w:hAnsi="宋体" w:cs="宋体"/>
                <w:color w:val="000000"/>
                <w:szCs w:val="21"/>
              </w:rPr>
            </w:pPr>
            <w:r>
              <w:rPr>
                <w:rFonts w:hint="eastAsia" w:ascii="宋体" w:hAnsi="宋体" w:cs="宋体"/>
                <w:color w:val="000000"/>
                <w:kern w:val="0"/>
                <w:szCs w:val="21"/>
                <w:lang w:bidi="ar"/>
              </w:rPr>
              <w:t>检查内存大小</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2）内存状态</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textAlignment w:val="bottom"/>
              <w:rPr>
                <w:rFonts w:ascii="宋体" w:hAnsi="宋体" w:cs="宋体"/>
                <w:color w:val="000000"/>
                <w:szCs w:val="21"/>
              </w:rPr>
            </w:pPr>
            <w:r>
              <w:rPr>
                <w:rFonts w:hint="eastAsia" w:ascii="宋体" w:hAnsi="宋体" w:cs="宋体"/>
                <w:color w:val="000000"/>
                <w:kern w:val="0"/>
                <w:szCs w:val="21"/>
                <w:lang w:bidi="ar"/>
              </w:rPr>
              <w:t>内存条状态</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3）操作系统和数据库状态；</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textAlignment w:val="bottom"/>
              <w:rPr>
                <w:rFonts w:ascii="宋体" w:hAnsi="宋体" w:cs="宋体"/>
                <w:color w:val="000000"/>
                <w:szCs w:val="21"/>
              </w:rPr>
            </w:pPr>
            <w:r>
              <w:rPr>
                <w:rFonts w:hint="eastAsia" w:ascii="宋体" w:hAnsi="宋体" w:cs="宋体"/>
                <w:color w:val="000000"/>
                <w:kern w:val="0"/>
                <w:szCs w:val="21"/>
                <w:lang w:bidi="ar"/>
              </w:rPr>
              <w:t>状态检查</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4）日志信息检查；</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textAlignment w:val="bottom"/>
              <w:rPr>
                <w:rFonts w:ascii="宋体" w:hAnsi="宋体" w:cs="宋体"/>
                <w:color w:val="000000"/>
                <w:szCs w:val="21"/>
              </w:rPr>
            </w:pPr>
            <w:r>
              <w:rPr>
                <w:rFonts w:hint="eastAsia" w:ascii="宋体" w:hAnsi="宋体" w:cs="宋体"/>
                <w:color w:val="000000"/>
                <w:kern w:val="0"/>
                <w:szCs w:val="21"/>
                <w:lang w:bidi="ar"/>
              </w:rPr>
              <w:t>错误日志无异常信息</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5）Hacmp运行正常</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textAlignment w:val="bottom"/>
              <w:rPr>
                <w:rFonts w:ascii="宋体" w:hAnsi="宋体" w:cs="宋体"/>
                <w:color w:val="000000"/>
                <w:szCs w:val="21"/>
              </w:rPr>
            </w:pPr>
            <w:r>
              <w:rPr>
                <w:rFonts w:hint="eastAsia" w:ascii="宋体" w:hAnsi="宋体" w:cs="宋体"/>
                <w:color w:val="000000"/>
                <w:kern w:val="0"/>
                <w:szCs w:val="21"/>
                <w:lang w:bidi="ar"/>
              </w:rPr>
              <w:t>集群切换测试、日志检查</w:t>
            </w:r>
          </w:p>
        </w:tc>
      </w:tr>
      <w:tr>
        <w:tblPrEx>
          <w:tblCellMar>
            <w:top w:w="0" w:type="dxa"/>
            <w:left w:w="108" w:type="dxa"/>
            <w:bottom w:w="0" w:type="dxa"/>
            <w:right w:w="108" w:type="dxa"/>
          </w:tblCellMar>
        </w:tblPrEx>
        <w:trPr>
          <w:trHeight w:val="280" w:hRule="atLeast"/>
        </w:trPr>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textAlignment w:val="center"/>
              <w:rPr>
                <w:rFonts w:ascii="宋体" w:hAnsi="宋体" w:cs="宋体"/>
                <w:color w:val="000000"/>
                <w:szCs w:val="21"/>
              </w:rPr>
            </w:pPr>
            <w:r>
              <w:rPr>
                <w:rFonts w:hint="eastAsia" w:ascii="宋体" w:hAnsi="宋体" w:cs="宋体"/>
                <w:color w:val="000000"/>
                <w:kern w:val="0"/>
                <w:szCs w:val="21"/>
                <w:lang w:bidi="ar"/>
              </w:rPr>
              <w:t>3</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textAlignment w:val="center"/>
              <w:rPr>
                <w:rFonts w:ascii="宋体" w:hAnsi="宋体" w:cs="宋体"/>
                <w:color w:val="000000"/>
                <w:szCs w:val="21"/>
              </w:rPr>
            </w:pPr>
            <w:r>
              <w:rPr>
                <w:rFonts w:hint="eastAsia" w:ascii="宋体" w:hAnsi="宋体" w:cs="宋体"/>
                <w:color w:val="000000"/>
                <w:kern w:val="0"/>
                <w:szCs w:val="21"/>
                <w:lang w:bidi="ar"/>
              </w:rPr>
              <w:t>容灾系统服务</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1）容灾数据一致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textAlignment w:val="center"/>
              <w:rPr>
                <w:rFonts w:ascii="宋体" w:hAnsi="宋体" w:cs="宋体"/>
                <w:color w:val="000000"/>
                <w:szCs w:val="21"/>
              </w:rPr>
            </w:pPr>
            <w:r>
              <w:rPr>
                <w:rFonts w:hint="eastAsia" w:ascii="宋体" w:hAnsi="宋体" w:cs="宋体"/>
                <w:color w:val="000000"/>
                <w:kern w:val="0"/>
                <w:szCs w:val="21"/>
                <w:lang w:bidi="ar"/>
              </w:rPr>
              <w:t>检查两端状态，数据对比</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2）稳定性测试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textAlignment w:val="center"/>
              <w:rPr>
                <w:rFonts w:ascii="宋体" w:hAnsi="宋体" w:cs="宋体"/>
                <w:color w:val="000000"/>
                <w:szCs w:val="21"/>
              </w:rPr>
            </w:pPr>
            <w:r>
              <w:rPr>
                <w:rFonts w:hint="eastAsia" w:ascii="宋体" w:hAnsi="宋体" w:cs="宋体"/>
                <w:color w:val="000000"/>
                <w:kern w:val="0"/>
                <w:szCs w:val="21"/>
                <w:lang w:bidi="ar"/>
              </w:rPr>
              <w:t>ddl、dml、dcl操作测试，对比验证</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3）大数据量修改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textAlignment w:val="center"/>
              <w:rPr>
                <w:rFonts w:ascii="宋体" w:hAnsi="宋体" w:cs="宋体"/>
                <w:color w:val="000000"/>
                <w:szCs w:val="21"/>
              </w:rPr>
            </w:pPr>
            <w:r>
              <w:rPr>
                <w:rFonts w:hint="eastAsia" w:ascii="宋体" w:hAnsi="宋体" w:cs="宋体"/>
                <w:color w:val="000000"/>
                <w:kern w:val="0"/>
                <w:szCs w:val="21"/>
                <w:lang w:bidi="ar"/>
              </w:rPr>
              <w:t>验证测试</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4）数据延时(秒级延时)；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textAlignment w:val="center"/>
              <w:rPr>
                <w:rFonts w:ascii="宋体" w:hAnsi="宋体" w:cs="宋体"/>
                <w:color w:val="000000"/>
                <w:szCs w:val="21"/>
              </w:rPr>
            </w:pPr>
            <w:r>
              <w:rPr>
                <w:rFonts w:hint="eastAsia" w:ascii="宋体" w:hAnsi="宋体" w:cs="宋体"/>
                <w:color w:val="000000"/>
                <w:kern w:val="0"/>
                <w:szCs w:val="21"/>
                <w:lang w:bidi="ar"/>
              </w:rPr>
              <w:t>数据对比验证</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5）容灾配置集群状态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textAlignment w:val="center"/>
              <w:rPr>
                <w:rFonts w:ascii="宋体" w:hAnsi="宋体" w:cs="宋体"/>
                <w:color w:val="000000"/>
                <w:szCs w:val="21"/>
              </w:rPr>
            </w:pPr>
            <w:r>
              <w:rPr>
                <w:rFonts w:hint="eastAsia" w:ascii="宋体" w:hAnsi="宋体" w:cs="宋体"/>
                <w:color w:val="000000"/>
                <w:kern w:val="0"/>
                <w:szCs w:val="21"/>
                <w:lang w:bidi="ar"/>
              </w:rPr>
              <w:t>主机故障切换验证</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6）对生产系统无影响；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textAlignment w:val="center"/>
              <w:rPr>
                <w:rFonts w:ascii="宋体" w:hAnsi="宋体" w:cs="宋体"/>
                <w:color w:val="000000"/>
                <w:szCs w:val="21"/>
              </w:rPr>
            </w:pPr>
            <w:r>
              <w:rPr>
                <w:rFonts w:hint="eastAsia" w:ascii="宋体" w:hAnsi="宋体" w:cs="宋体"/>
                <w:color w:val="000000"/>
                <w:kern w:val="0"/>
                <w:szCs w:val="21"/>
                <w:lang w:bidi="ar"/>
              </w:rPr>
              <w:t>实施过程不影响生成，容灾端故障不影响生产</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7）Web方式监控容灾状态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textAlignment w:val="center"/>
              <w:rPr>
                <w:rFonts w:ascii="宋体" w:hAnsi="宋体" w:cs="宋体"/>
                <w:color w:val="000000"/>
                <w:szCs w:val="21"/>
              </w:rPr>
            </w:pPr>
            <w:r>
              <w:rPr>
                <w:rFonts w:hint="eastAsia" w:ascii="宋体" w:hAnsi="宋体" w:cs="宋体"/>
                <w:color w:val="000000"/>
                <w:kern w:val="0"/>
                <w:szCs w:val="21"/>
                <w:lang w:bidi="ar"/>
              </w:rPr>
              <w:t>容灾监控大屏展示窗口，监控状态</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8）监控状态检查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textAlignment w:val="center"/>
              <w:rPr>
                <w:rFonts w:ascii="宋体" w:hAnsi="宋体" w:cs="宋体"/>
                <w:color w:val="000000"/>
                <w:szCs w:val="21"/>
              </w:rPr>
            </w:pPr>
            <w:r>
              <w:rPr>
                <w:rFonts w:hint="eastAsia" w:ascii="宋体" w:hAnsi="宋体" w:cs="宋体"/>
                <w:color w:val="000000"/>
                <w:kern w:val="0"/>
                <w:szCs w:val="21"/>
                <w:lang w:bidi="ar"/>
              </w:rPr>
              <w:t>树形导引管理、状态展示，细节查看</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9）容灾监控历史记录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360" w:lineRule="auto"/>
              <w:textAlignment w:val="center"/>
              <w:rPr>
                <w:rFonts w:ascii="宋体" w:hAnsi="宋体" w:cs="宋体"/>
                <w:color w:val="000000"/>
                <w:szCs w:val="21"/>
              </w:rPr>
            </w:pPr>
            <w:r>
              <w:rPr>
                <w:rFonts w:hint="eastAsia" w:ascii="宋体" w:hAnsi="宋体" w:cs="宋体"/>
                <w:color w:val="000000"/>
                <w:kern w:val="0"/>
                <w:szCs w:val="21"/>
                <w:lang w:bidi="ar"/>
              </w:rPr>
              <w:t>检查历史数据</w:t>
            </w:r>
          </w:p>
        </w:tc>
      </w:tr>
      <w:tr>
        <w:tblPrEx>
          <w:tblCellMar>
            <w:top w:w="0" w:type="dxa"/>
            <w:left w:w="108" w:type="dxa"/>
            <w:bottom w:w="0" w:type="dxa"/>
            <w:right w:w="108" w:type="dxa"/>
          </w:tblCellMar>
        </w:tblPrEx>
        <w:trPr>
          <w:trHeight w:val="280" w:hRule="atLeast"/>
        </w:trPr>
        <w:tc>
          <w:tcPr>
            <w:tcW w:w="5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textAlignment w:val="center"/>
              <w:rPr>
                <w:rFonts w:ascii="宋体" w:hAnsi="宋体" w:cs="宋体"/>
                <w:color w:val="000000"/>
                <w:szCs w:val="21"/>
              </w:rPr>
            </w:pPr>
            <w:r>
              <w:rPr>
                <w:rFonts w:hint="eastAsia" w:ascii="宋体" w:hAnsi="宋体" w:cs="宋体"/>
                <w:color w:val="000000"/>
                <w:kern w:val="0"/>
                <w:szCs w:val="21"/>
                <w:lang w:bidi="ar"/>
              </w:rPr>
              <w:t>4</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textAlignment w:val="center"/>
              <w:rPr>
                <w:rFonts w:ascii="宋体" w:hAnsi="宋体" w:cs="宋体"/>
                <w:color w:val="000000"/>
                <w:kern w:val="0"/>
                <w:szCs w:val="21"/>
                <w:lang w:bidi="ar"/>
              </w:rPr>
            </w:pPr>
            <w:r>
              <w:rPr>
                <w:rFonts w:hint="eastAsia" w:ascii="宋体" w:hAnsi="宋体" w:cs="宋体"/>
                <w:color w:val="000000"/>
                <w:kern w:val="0"/>
                <w:szCs w:val="21"/>
                <w:lang w:bidi="ar"/>
              </w:rPr>
              <w:t>实施</w:t>
            </w:r>
          </w:p>
          <w:p>
            <w:pPr>
              <w:widowControl/>
              <w:spacing w:line="360" w:lineRule="auto"/>
              <w:textAlignment w:val="center"/>
              <w:rPr>
                <w:rFonts w:ascii="宋体" w:hAnsi="宋体" w:cs="宋体"/>
                <w:color w:val="000000"/>
                <w:szCs w:val="21"/>
              </w:rPr>
            </w:pPr>
            <w:r>
              <w:rPr>
                <w:rFonts w:hint="eastAsia" w:ascii="宋体" w:hAnsi="宋体" w:cs="宋体"/>
                <w:color w:val="000000"/>
                <w:kern w:val="0"/>
                <w:szCs w:val="21"/>
                <w:lang w:bidi="ar"/>
              </w:rPr>
              <w:t>过程</w:t>
            </w: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1）规划文档</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textAlignment w:val="bottom"/>
              <w:rPr>
                <w:rFonts w:ascii="宋体" w:hAnsi="宋体" w:cs="宋体"/>
                <w:color w:val="000000"/>
                <w:szCs w:val="21"/>
              </w:rPr>
            </w:pPr>
            <w:r>
              <w:rPr>
                <w:rFonts w:hint="eastAsia" w:ascii="宋体" w:hAnsi="宋体" w:cs="宋体"/>
                <w:color w:val="000000"/>
                <w:kern w:val="0"/>
                <w:szCs w:val="21"/>
                <w:lang w:bidi="ar"/>
              </w:rPr>
              <w:t>实施前需提供完整的合理的容灾规划文档</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2）实施计划</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textAlignment w:val="bottom"/>
              <w:rPr>
                <w:rFonts w:ascii="宋体" w:hAnsi="宋体" w:cs="宋体"/>
                <w:color w:val="000000"/>
                <w:szCs w:val="21"/>
              </w:rPr>
            </w:pPr>
            <w:r>
              <w:rPr>
                <w:rFonts w:hint="eastAsia" w:ascii="宋体" w:hAnsi="宋体" w:cs="宋体"/>
                <w:color w:val="000000"/>
                <w:kern w:val="0"/>
                <w:szCs w:val="21"/>
                <w:lang w:bidi="ar"/>
              </w:rPr>
              <w:t>实施前需提供完整的合理的实施计划</w:t>
            </w:r>
          </w:p>
        </w:tc>
      </w:tr>
      <w:tr>
        <w:tblPrEx>
          <w:tblCellMar>
            <w:top w:w="0" w:type="dxa"/>
            <w:left w:w="108" w:type="dxa"/>
            <w:bottom w:w="0" w:type="dxa"/>
            <w:right w:w="108" w:type="dxa"/>
          </w:tblCellMar>
        </w:tblPrEx>
        <w:trPr>
          <w:trHeight w:val="54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2）实施文档</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textAlignment w:val="bottom"/>
              <w:rPr>
                <w:rFonts w:ascii="宋体" w:hAnsi="宋体" w:cs="宋体"/>
                <w:color w:val="000000"/>
                <w:szCs w:val="21"/>
              </w:rPr>
            </w:pPr>
            <w:r>
              <w:rPr>
                <w:rFonts w:hint="eastAsia" w:ascii="宋体" w:hAnsi="宋体" w:cs="宋体"/>
                <w:color w:val="000000"/>
                <w:kern w:val="0"/>
                <w:szCs w:val="21"/>
                <w:lang w:bidi="ar"/>
              </w:rPr>
              <w:t>实施过程不断完善实施文档，实施完成提供完整的实施文档</w:t>
            </w:r>
          </w:p>
        </w:tc>
      </w:tr>
      <w:tr>
        <w:tblPrEx>
          <w:tblCellMar>
            <w:top w:w="0" w:type="dxa"/>
            <w:left w:w="108" w:type="dxa"/>
            <w:bottom w:w="0" w:type="dxa"/>
            <w:right w:w="108" w:type="dxa"/>
          </w:tblCellMar>
        </w:tblPrEx>
        <w:trPr>
          <w:trHeight w:val="54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3）现场实施要求</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textAlignment w:val="bottom"/>
              <w:rPr>
                <w:rFonts w:ascii="宋体" w:hAnsi="宋体" w:cs="宋体"/>
                <w:color w:val="000000"/>
                <w:szCs w:val="21"/>
              </w:rPr>
            </w:pPr>
            <w:r>
              <w:rPr>
                <w:rFonts w:hint="eastAsia" w:ascii="宋体" w:hAnsi="宋体" w:cs="宋体"/>
                <w:color w:val="000000"/>
                <w:kern w:val="0"/>
                <w:szCs w:val="21"/>
                <w:lang w:bidi="ar"/>
              </w:rPr>
              <w:t>容灾环境不允许上网，需工程师现场实施，不许可远程接入</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4）实施过程不产生多余费用</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textAlignment w:val="bottom"/>
              <w:rPr>
                <w:rFonts w:ascii="宋体" w:hAnsi="宋体" w:cs="宋体"/>
                <w:color w:val="000000"/>
                <w:szCs w:val="21"/>
              </w:rPr>
            </w:pPr>
            <w:r>
              <w:rPr>
                <w:rFonts w:hint="eastAsia" w:ascii="宋体" w:hAnsi="宋体" w:cs="宋体"/>
                <w:color w:val="000000"/>
                <w:kern w:val="0"/>
                <w:szCs w:val="21"/>
                <w:lang w:bidi="ar"/>
              </w:rPr>
              <w:t>项目金额包含实施过程全部费用</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5）实施过程对生产系统无影响；</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textAlignment w:val="bottom"/>
              <w:rPr>
                <w:rFonts w:ascii="宋体" w:hAnsi="宋体" w:cs="宋体"/>
                <w:color w:val="000000"/>
                <w:szCs w:val="21"/>
              </w:rPr>
            </w:pPr>
            <w:r>
              <w:rPr>
                <w:rFonts w:hint="eastAsia" w:ascii="宋体" w:hAnsi="宋体" w:cs="宋体"/>
                <w:color w:val="000000"/>
                <w:kern w:val="0"/>
                <w:szCs w:val="21"/>
                <w:lang w:bidi="ar"/>
              </w:rPr>
              <w:t>实施过程需要谨慎、严谨不能影响生产业务</w:t>
            </w:r>
          </w:p>
        </w:tc>
      </w:tr>
      <w:tr>
        <w:tblPrEx>
          <w:tblCellMar>
            <w:top w:w="0" w:type="dxa"/>
            <w:left w:w="108" w:type="dxa"/>
            <w:bottom w:w="0" w:type="dxa"/>
            <w:right w:w="108" w:type="dxa"/>
          </w:tblCellMar>
        </w:tblPrEx>
        <w:trPr>
          <w:trHeight w:val="280" w:hRule="atLeast"/>
        </w:trPr>
        <w:tc>
          <w:tcPr>
            <w:tcW w:w="5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ascii="宋体" w:hAnsi="宋体" w:cs="宋体"/>
                <w:color w:val="000000"/>
                <w:szCs w:val="21"/>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60" w:lineRule="auto"/>
              <w:jc w:val="left"/>
              <w:textAlignment w:val="center"/>
              <w:rPr>
                <w:rFonts w:ascii="宋体" w:hAnsi="宋体" w:cs="宋体"/>
                <w:color w:val="000000"/>
                <w:szCs w:val="21"/>
              </w:rPr>
            </w:pPr>
            <w:r>
              <w:rPr>
                <w:rFonts w:hint="eastAsia" w:ascii="宋体" w:hAnsi="宋体" w:cs="宋体"/>
                <w:color w:val="000000"/>
                <w:kern w:val="0"/>
                <w:szCs w:val="21"/>
                <w:lang w:bidi="ar"/>
              </w:rPr>
              <w:t>6）维护文档</w:t>
            </w:r>
          </w:p>
        </w:tc>
        <w:tc>
          <w:tcPr>
            <w:tcW w:w="4270"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60" w:lineRule="auto"/>
              <w:textAlignment w:val="bottom"/>
              <w:rPr>
                <w:rFonts w:ascii="宋体" w:hAnsi="宋体" w:cs="宋体"/>
                <w:color w:val="000000"/>
                <w:szCs w:val="21"/>
              </w:rPr>
            </w:pPr>
            <w:r>
              <w:rPr>
                <w:rFonts w:hint="eastAsia" w:ascii="宋体" w:hAnsi="宋体" w:cs="宋体"/>
                <w:color w:val="000000"/>
                <w:kern w:val="0"/>
                <w:szCs w:val="21"/>
                <w:lang w:bidi="ar"/>
              </w:rPr>
              <w:t>实施完成需提供完成全面的维护文档</w:t>
            </w:r>
          </w:p>
        </w:tc>
      </w:tr>
    </w:tbl>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r>
        <w:rPr>
          <w:rFonts w:hint="eastAsia" w:ascii="仿宋_GB2312" w:hAnsi="仿宋" w:eastAsia="仿宋_GB2312"/>
          <w:sz w:val="28"/>
          <w:szCs w:val="28"/>
        </w:rPr>
        <w:t>(此部分到此结束)</w:t>
      </w: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p>
    <w:p>
      <w:pPr>
        <w:spacing w:line="360" w:lineRule="auto"/>
        <w:ind w:firstLine="284"/>
        <w:rPr>
          <w:rFonts w:ascii="仿宋_GB2312" w:hAnsi="仿宋" w:eastAsia="仿宋_GB2312"/>
          <w:sz w:val="28"/>
          <w:szCs w:val="28"/>
        </w:rPr>
      </w:pPr>
      <w:r>
        <w:rPr>
          <w:rFonts w:hint="eastAsia" w:ascii="仿宋_GB2312" w:hAnsi="仿宋" w:eastAsia="仿宋_GB2312"/>
          <w:sz w:val="28"/>
          <w:szCs w:val="28"/>
        </w:rPr>
        <w:t>附件四：配件升级及服务价格明细</w:t>
      </w:r>
    </w:p>
    <w:p>
      <w:pPr>
        <w:rPr>
          <w:rFonts w:ascii="微软雅黑" w:hAnsi="微软雅黑" w:eastAsia="微软雅黑"/>
          <w:szCs w:val="21"/>
        </w:rPr>
      </w:pPr>
    </w:p>
    <w:sectPr>
      <w:pgSz w:w="11906" w:h="16838"/>
      <w:pgMar w:top="1247" w:right="1077" w:bottom="124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0"/>
    <w:family w:val="swiss"/>
    <w:pitch w:val="default"/>
    <w:sig w:usb0="FFFFFFFF" w:usb1="E9FFFFFF"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 w:name="方正小标宋_GBK">
    <w:altName w:val="微软雅黑"/>
    <w:panose1 w:val="00000000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separate"/>
    </w:r>
    <w:r>
      <w:rPr>
        <w:rStyle w:val="17"/>
      </w:rPr>
      <w:t>8</w:t>
    </w:r>
    <w: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F9DA79"/>
    <w:multiLevelType w:val="singleLevel"/>
    <w:tmpl w:val="C8F9DA79"/>
    <w:lvl w:ilvl="0" w:tentative="0">
      <w:start w:val="1"/>
      <w:numFmt w:val="decimal"/>
      <w:suff w:val="nothing"/>
      <w:lvlText w:val="%1）"/>
      <w:lvlJc w:val="left"/>
    </w:lvl>
  </w:abstractNum>
  <w:abstractNum w:abstractNumId="1">
    <w:nsid w:val="CB4232B4"/>
    <w:multiLevelType w:val="singleLevel"/>
    <w:tmpl w:val="CB4232B4"/>
    <w:lvl w:ilvl="0" w:tentative="0">
      <w:start w:val="1"/>
      <w:numFmt w:val="decimal"/>
      <w:suff w:val="nothing"/>
      <w:lvlText w:val="%1）"/>
      <w:lvlJc w:val="left"/>
      <w:pPr>
        <w:ind w:left="60"/>
      </w:pPr>
    </w:lvl>
  </w:abstractNum>
  <w:abstractNum w:abstractNumId="2">
    <w:nsid w:val="EFE85E63"/>
    <w:multiLevelType w:val="singleLevel"/>
    <w:tmpl w:val="EFE85E63"/>
    <w:lvl w:ilvl="0" w:tentative="0">
      <w:start w:val="1"/>
      <w:numFmt w:val="decimal"/>
      <w:suff w:val="nothing"/>
      <w:lvlText w:val="%1、"/>
      <w:lvlJc w:val="left"/>
    </w:lvl>
  </w:abstractNum>
  <w:abstractNum w:abstractNumId="3">
    <w:nsid w:val="00000001"/>
    <w:multiLevelType w:val="multilevel"/>
    <w:tmpl w:val="0000000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3"/>
    <w:multiLevelType w:val="multilevel"/>
    <w:tmpl w:val="0000000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0000004"/>
    <w:multiLevelType w:val="multilevel"/>
    <w:tmpl w:val="00000004"/>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6">
    <w:nsid w:val="00000005"/>
    <w:multiLevelType w:val="multilevel"/>
    <w:tmpl w:val="0000000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06"/>
    <w:multiLevelType w:val="multilevel"/>
    <w:tmpl w:val="00000006"/>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decimal"/>
      <w:lvlText w:val="%3）"/>
      <w:lvlJc w:val="left"/>
      <w:pPr>
        <w:ind w:left="1845" w:hanging="795"/>
      </w:pPr>
      <w:rPr>
        <w:rFonts w:hint="default"/>
      </w:r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8">
    <w:nsid w:val="00000007"/>
    <w:multiLevelType w:val="multilevel"/>
    <w:tmpl w:val="0000000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08"/>
    <w:multiLevelType w:val="multilevel"/>
    <w:tmpl w:val="00000008"/>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0A"/>
    <w:multiLevelType w:val="multilevel"/>
    <w:tmpl w:val="0000000A"/>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0B"/>
    <w:multiLevelType w:val="multilevel"/>
    <w:tmpl w:val="0000000B"/>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0C"/>
    <w:multiLevelType w:val="multilevel"/>
    <w:tmpl w:val="0000000C"/>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00000D"/>
    <w:multiLevelType w:val="multilevel"/>
    <w:tmpl w:val="0000000D"/>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0E"/>
    <w:multiLevelType w:val="multilevel"/>
    <w:tmpl w:val="0000000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000000F"/>
    <w:multiLevelType w:val="multilevel"/>
    <w:tmpl w:val="0000000F"/>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3759FD4"/>
    <w:multiLevelType w:val="singleLevel"/>
    <w:tmpl w:val="03759FD4"/>
    <w:lvl w:ilvl="0" w:tentative="0">
      <w:start w:val="1"/>
      <w:numFmt w:val="decimal"/>
      <w:suff w:val="nothing"/>
      <w:lvlText w:val="%1、"/>
      <w:lvlJc w:val="left"/>
    </w:lvl>
  </w:abstractNum>
  <w:abstractNum w:abstractNumId="17">
    <w:nsid w:val="3A5B6292"/>
    <w:multiLevelType w:val="multilevel"/>
    <w:tmpl w:val="3A5B6292"/>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2"/>
  </w:num>
  <w:num w:numId="2">
    <w:abstractNumId w:val="13"/>
  </w:num>
  <w:num w:numId="3">
    <w:abstractNumId w:val="4"/>
  </w:num>
  <w:num w:numId="4">
    <w:abstractNumId w:val="17"/>
  </w:num>
  <w:num w:numId="5">
    <w:abstractNumId w:val="11"/>
  </w:num>
  <w:num w:numId="6">
    <w:abstractNumId w:val="14"/>
  </w:num>
  <w:num w:numId="7">
    <w:abstractNumId w:val="15"/>
  </w:num>
  <w:num w:numId="8">
    <w:abstractNumId w:val="8"/>
  </w:num>
  <w:num w:numId="9">
    <w:abstractNumId w:val="3"/>
  </w:num>
  <w:num w:numId="10">
    <w:abstractNumId w:val="9"/>
  </w:num>
  <w:num w:numId="11">
    <w:abstractNumId w:val="10"/>
  </w:num>
  <w:num w:numId="12">
    <w:abstractNumId w:val="6"/>
  </w:num>
  <w:num w:numId="13">
    <w:abstractNumId w:val="2"/>
  </w:num>
  <w:num w:numId="14">
    <w:abstractNumId w:val="7"/>
  </w:num>
  <w:num w:numId="15">
    <w:abstractNumId w:val="16"/>
  </w:num>
  <w:num w:numId="16">
    <w:abstractNumId w:val="5"/>
  </w:num>
  <w:num w:numId="17">
    <w:abstractNumId w:val="0"/>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DD597A"/>
    <w:rsid w:val="000225C7"/>
    <w:rsid w:val="00025214"/>
    <w:rsid w:val="00036C97"/>
    <w:rsid w:val="00046C85"/>
    <w:rsid w:val="00123832"/>
    <w:rsid w:val="001473C3"/>
    <w:rsid w:val="00157073"/>
    <w:rsid w:val="00165313"/>
    <w:rsid w:val="0017199A"/>
    <w:rsid w:val="00172FEE"/>
    <w:rsid w:val="001815F4"/>
    <w:rsid w:val="001B0814"/>
    <w:rsid w:val="001C03CB"/>
    <w:rsid w:val="001E0106"/>
    <w:rsid w:val="00245FD9"/>
    <w:rsid w:val="00273500"/>
    <w:rsid w:val="002D706E"/>
    <w:rsid w:val="003115EF"/>
    <w:rsid w:val="00315E48"/>
    <w:rsid w:val="003332AB"/>
    <w:rsid w:val="00333A2A"/>
    <w:rsid w:val="00337221"/>
    <w:rsid w:val="0035021F"/>
    <w:rsid w:val="00372995"/>
    <w:rsid w:val="003850AC"/>
    <w:rsid w:val="003D6121"/>
    <w:rsid w:val="003E29AC"/>
    <w:rsid w:val="00467262"/>
    <w:rsid w:val="0049499C"/>
    <w:rsid w:val="00496615"/>
    <w:rsid w:val="00496C66"/>
    <w:rsid w:val="004C2106"/>
    <w:rsid w:val="005072CF"/>
    <w:rsid w:val="0055043E"/>
    <w:rsid w:val="00561C3C"/>
    <w:rsid w:val="00571608"/>
    <w:rsid w:val="00597809"/>
    <w:rsid w:val="005D2EEB"/>
    <w:rsid w:val="005F05BE"/>
    <w:rsid w:val="006407D6"/>
    <w:rsid w:val="006B5857"/>
    <w:rsid w:val="006E50E9"/>
    <w:rsid w:val="0070765A"/>
    <w:rsid w:val="00735D83"/>
    <w:rsid w:val="007771FA"/>
    <w:rsid w:val="00782224"/>
    <w:rsid w:val="007A7E1C"/>
    <w:rsid w:val="007B0915"/>
    <w:rsid w:val="007C5247"/>
    <w:rsid w:val="007F6AB7"/>
    <w:rsid w:val="00867C4A"/>
    <w:rsid w:val="00942489"/>
    <w:rsid w:val="0095192E"/>
    <w:rsid w:val="00993023"/>
    <w:rsid w:val="009A1CEA"/>
    <w:rsid w:val="00A03711"/>
    <w:rsid w:val="00A0799F"/>
    <w:rsid w:val="00A1316A"/>
    <w:rsid w:val="00A26567"/>
    <w:rsid w:val="00A50AE5"/>
    <w:rsid w:val="00A65FBE"/>
    <w:rsid w:val="00A96F7D"/>
    <w:rsid w:val="00AF4D92"/>
    <w:rsid w:val="00B41F10"/>
    <w:rsid w:val="00B73F4B"/>
    <w:rsid w:val="00B828FA"/>
    <w:rsid w:val="00B83BC5"/>
    <w:rsid w:val="00BA6641"/>
    <w:rsid w:val="00BB3619"/>
    <w:rsid w:val="00BB38A9"/>
    <w:rsid w:val="00BF604D"/>
    <w:rsid w:val="00BF61FE"/>
    <w:rsid w:val="00C53784"/>
    <w:rsid w:val="00C81073"/>
    <w:rsid w:val="00CB6B63"/>
    <w:rsid w:val="00CD5FCB"/>
    <w:rsid w:val="00CD6807"/>
    <w:rsid w:val="00D022AC"/>
    <w:rsid w:val="00D036D2"/>
    <w:rsid w:val="00D11132"/>
    <w:rsid w:val="00D42EFE"/>
    <w:rsid w:val="00DD597A"/>
    <w:rsid w:val="00DE5A5F"/>
    <w:rsid w:val="00E061BC"/>
    <w:rsid w:val="00E067F0"/>
    <w:rsid w:val="00EC1D7D"/>
    <w:rsid w:val="00ED5E43"/>
    <w:rsid w:val="00EF2DF5"/>
    <w:rsid w:val="00F47D5E"/>
    <w:rsid w:val="00F621B5"/>
    <w:rsid w:val="00F92BCC"/>
    <w:rsid w:val="01814F63"/>
    <w:rsid w:val="01B728C3"/>
    <w:rsid w:val="02085AB8"/>
    <w:rsid w:val="022278B2"/>
    <w:rsid w:val="026D3223"/>
    <w:rsid w:val="029E162E"/>
    <w:rsid w:val="02D52B76"/>
    <w:rsid w:val="03A77306"/>
    <w:rsid w:val="03BE185C"/>
    <w:rsid w:val="04281C76"/>
    <w:rsid w:val="046756DE"/>
    <w:rsid w:val="04713ECB"/>
    <w:rsid w:val="04DF1D86"/>
    <w:rsid w:val="051A6F66"/>
    <w:rsid w:val="0547408E"/>
    <w:rsid w:val="054E2E30"/>
    <w:rsid w:val="058C1C12"/>
    <w:rsid w:val="06BE3E8E"/>
    <w:rsid w:val="06E425C1"/>
    <w:rsid w:val="06FB0ACD"/>
    <w:rsid w:val="074B36E2"/>
    <w:rsid w:val="077927E5"/>
    <w:rsid w:val="078801B7"/>
    <w:rsid w:val="078A5470"/>
    <w:rsid w:val="07AE56CD"/>
    <w:rsid w:val="07E01DA1"/>
    <w:rsid w:val="07EF0236"/>
    <w:rsid w:val="086069C7"/>
    <w:rsid w:val="098A2CD9"/>
    <w:rsid w:val="0AE918B4"/>
    <w:rsid w:val="0B4E1717"/>
    <w:rsid w:val="0B721CF9"/>
    <w:rsid w:val="0B7504DE"/>
    <w:rsid w:val="0BEB6F66"/>
    <w:rsid w:val="0C1D229E"/>
    <w:rsid w:val="0C5C48D9"/>
    <w:rsid w:val="0C607954"/>
    <w:rsid w:val="0C7E32F5"/>
    <w:rsid w:val="0CA945CB"/>
    <w:rsid w:val="0D4F2349"/>
    <w:rsid w:val="0D90514B"/>
    <w:rsid w:val="0D98311E"/>
    <w:rsid w:val="0F8D44F3"/>
    <w:rsid w:val="10F53535"/>
    <w:rsid w:val="11C61FEC"/>
    <w:rsid w:val="12C02EFB"/>
    <w:rsid w:val="131B45D5"/>
    <w:rsid w:val="138228A6"/>
    <w:rsid w:val="13A66595"/>
    <w:rsid w:val="13D36780"/>
    <w:rsid w:val="1446236C"/>
    <w:rsid w:val="14691370"/>
    <w:rsid w:val="14A8633C"/>
    <w:rsid w:val="14A87E9D"/>
    <w:rsid w:val="151B08BC"/>
    <w:rsid w:val="15537BCA"/>
    <w:rsid w:val="156A7ED9"/>
    <w:rsid w:val="159C69A3"/>
    <w:rsid w:val="15B0264A"/>
    <w:rsid w:val="15D9695F"/>
    <w:rsid w:val="160477F1"/>
    <w:rsid w:val="160B6B83"/>
    <w:rsid w:val="16F500D8"/>
    <w:rsid w:val="17084E70"/>
    <w:rsid w:val="170D2B28"/>
    <w:rsid w:val="17CB55C4"/>
    <w:rsid w:val="18155A97"/>
    <w:rsid w:val="186B1B5B"/>
    <w:rsid w:val="18E13BCB"/>
    <w:rsid w:val="1A935399"/>
    <w:rsid w:val="1B027E29"/>
    <w:rsid w:val="1BF24C7D"/>
    <w:rsid w:val="1C1369B4"/>
    <w:rsid w:val="1DE201DB"/>
    <w:rsid w:val="1E183D37"/>
    <w:rsid w:val="1E4D3003"/>
    <w:rsid w:val="1EA0010D"/>
    <w:rsid w:val="1EBF34A9"/>
    <w:rsid w:val="1F1F047B"/>
    <w:rsid w:val="1F525822"/>
    <w:rsid w:val="1F811C64"/>
    <w:rsid w:val="20087C8F"/>
    <w:rsid w:val="201A2DBD"/>
    <w:rsid w:val="20645FFB"/>
    <w:rsid w:val="20FC6738"/>
    <w:rsid w:val="2100305C"/>
    <w:rsid w:val="210B6C36"/>
    <w:rsid w:val="214271D1"/>
    <w:rsid w:val="215A3D65"/>
    <w:rsid w:val="217A4BBD"/>
    <w:rsid w:val="21C07803"/>
    <w:rsid w:val="221F7512"/>
    <w:rsid w:val="22F60318"/>
    <w:rsid w:val="23103A2A"/>
    <w:rsid w:val="234E6301"/>
    <w:rsid w:val="23F11B78"/>
    <w:rsid w:val="24662B59"/>
    <w:rsid w:val="24AD2450"/>
    <w:rsid w:val="250E3E50"/>
    <w:rsid w:val="2561056D"/>
    <w:rsid w:val="257F2BC2"/>
    <w:rsid w:val="25C128C0"/>
    <w:rsid w:val="260B012D"/>
    <w:rsid w:val="26795443"/>
    <w:rsid w:val="26A32C20"/>
    <w:rsid w:val="27334B05"/>
    <w:rsid w:val="27670680"/>
    <w:rsid w:val="276E6F72"/>
    <w:rsid w:val="277B343D"/>
    <w:rsid w:val="27B753CF"/>
    <w:rsid w:val="27CC5A46"/>
    <w:rsid w:val="27EA7579"/>
    <w:rsid w:val="28000464"/>
    <w:rsid w:val="28191B1A"/>
    <w:rsid w:val="28715C91"/>
    <w:rsid w:val="28C31AAD"/>
    <w:rsid w:val="2A1F59CF"/>
    <w:rsid w:val="2A8D145E"/>
    <w:rsid w:val="2AA032F6"/>
    <w:rsid w:val="2AEF2177"/>
    <w:rsid w:val="2B604E23"/>
    <w:rsid w:val="2B940F71"/>
    <w:rsid w:val="2D676267"/>
    <w:rsid w:val="2D687FBF"/>
    <w:rsid w:val="2DFB52D7"/>
    <w:rsid w:val="2F360E01"/>
    <w:rsid w:val="2F8512FC"/>
    <w:rsid w:val="2FB57DB1"/>
    <w:rsid w:val="30585253"/>
    <w:rsid w:val="308B359C"/>
    <w:rsid w:val="309E0CD6"/>
    <w:rsid w:val="31233D9D"/>
    <w:rsid w:val="313A4F6C"/>
    <w:rsid w:val="318C1CBB"/>
    <w:rsid w:val="32C1089D"/>
    <w:rsid w:val="32D473C7"/>
    <w:rsid w:val="332B1B02"/>
    <w:rsid w:val="3450663F"/>
    <w:rsid w:val="34F07218"/>
    <w:rsid w:val="351C625F"/>
    <w:rsid w:val="359974EE"/>
    <w:rsid w:val="36127662"/>
    <w:rsid w:val="363B2715"/>
    <w:rsid w:val="37B207B5"/>
    <w:rsid w:val="38097782"/>
    <w:rsid w:val="38FB43DD"/>
    <w:rsid w:val="39DA2245"/>
    <w:rsid w:val="3A1A4D37"/>
    <w:rsid w:val="3A246141"/>
    <w:rsid w:val="3A325BDD"/>
    <w:rsid w:val="3AF13CEA"/>
    <w:rsid w:val="3B1D4ADF"/>
    <w:rsid w:val="3BEB2B7A"/>
    <w:rsid w:val="3C021E4F"/>
    <w:rsid w:val="3C7459F3"/>
    <w:rsid w:val="3CBC7B50"/>
    <w:rsid w:val="3CD51FBE"/>
    <w:rsid w:val="3CDF6358"/>
    <w:rsid w:val="3CF61386"/>
    <w:rsid w:val="3D5D5666"/>
    <w:rsid w:val="3D6E33D0"/>
    <w:rsid w:val="3DA65A5E"/>
    <w:rsid w:val="3DE10046"/>
    <w:rsid w:val="3DEA52C4"/>
    <w:rsid w:val="3DEA6D00"/>
    <w:rsid w:val="3E2D5B8D"/>
    <w:rsid w:val="3E9F3755"/>
    <w:rsid w:val="402D6790"/>
    <w:rsid w:val="418E0550"/>
    <w:rsid w:val="419453CF"/>
    <w:rsid w:val="419D24D5"/>
    <w:rsid w:val="41DA7286"/>
    <w:rsid w:val="427104D1"/>
    <w:rsid w:val="42D12EE3"/>
    <w:rsid w:val="42D652AB"/>
    <w:rsid w:val="433372FB"/>
    <w:rsid w:val="44AC6C8B"/>
    <w:rsid w:val="459C4852"/>
    <w:rsid w:val="45AA65C2"/>
    <w:rsid w:val="45B4563E"/>
    <w:rsid w:val="45DB6BA2"/>
    <w:rsid w:val="46933BE2"/>
    <w:rsid w:val="46F56910"/>
    <w:rsid w:val="47385702"/>
    <w:rsid w:val="475A49C5"/>
    <w:rsid w:val="478432E6"/>
    <w:rsid w:val="48072A84"/>
    <w:rsid w:val="48555441"/>
    <w:rsid w:val="48627FD5"/>
    <w:rsid w:val="48904B42"/>
    <w:rsid w:val="498B70B7"/>
    <w:rsid w:val="49DE1A66"/>
    <w:rsid w:val="4A370FED"/>
    <w:rsid w:val="4AF55130"/>
    <w:rsid w:val="4B1F4D3C"/>
    <w:rsid w:val="4B524331"/>
    <w:rsid w:val="4B532359"/>
    <w:rsid w:val="4C2F376F"/>
    <w:rsid w:val="4C4A325A"/>
    <w:rsid w:val="4C55736E"/>
    <w:rsid w:val="4C6F5D9C"/>
    <w:rsid w:val="4C854292"/>
    <w:rsid w:val="4CAC36D3"/>
    <w:rsid w:val="4D565C2E"/>
    <w:rsid w:val="4DA846DC"/>
    <w:rsid w:val="4E933270"/>
    <w:rsid w:val="4E9B2B4B"/>
    <w:rsid w:val="4E9E4860"/>
    <w:rsid w:val="4ED844B3"/>
    <w:rsid w:val="4FCE2C21"/>
    <w:rsid w:val="4FE67AD6"/>
    <w:rsid w:val="506D65DA"/>
    <w:rsid w:val="50E1367E"/>
    <w:rsid w:val="50E517A3"/>
    <w:rsid w:val="50FB6D5D"/>
    <w:rsid w:val="51624BA2"/>
    <w:rsid w:val="51836131"/>
    <w:rsid w:val="51D75590"/>
    <w:rsid w:val="52020133"/>
    <w:rsid w:val="521C79CE"/>
    <w:rsid w:val="52263E21"/>
    <w:rsid w:val="52272260"/>
    <w:rsid w:val="52CA6EA2"/>
    <w:rsid w:val="52F943F9"/>
    <w:rsid w:val="530103EA"/>
    <w:rsid w:val="5306537C"/>
    <w:rsid w:val="53D578AD"/>
    <w:rsid w:val="54AC3D70"/>
    <w:rsid w:val="55495AB8"/>
    <w:rsid w:val="554C0043"/>
    <w:rsid w:val="55774A86"/>
    <w:rsid w:val="56290C6C"/>
    <w:rsid w:val="577C695E"/>
    <w:rsid w:val="57D542E1"/>
    <w:rsid w:val="57F770E6"/>
    <w:rsid w:val="58EB3333"/>
    <w:rsid w:val="59034EBC"/>
    <w:rsid w:val="59AC4E64"/>
    <w:rsid w:val="59EE791A"/>
    <w:rsid w:val="5A753B98"/>
    <w:rsid w:val="5A944FF2"/>
    <w:rsid w:val="5AD308BE"/>
    <w:rsid w:val="5AE825BC"/>
    <w:rsid w:val="5BA74225"/>
    <w:rsid w:val="5BE45138"/>
    <w:rsid w:val="5BFD2097"/>
    <w:rsid w:val="5C036600"/>
    <w:rsid w:val="5C1B076F"/>
    <w:rsid w:val="5CC22998"/>
    <w:rsid w:val="5CD31049"/>
    <w:rsid w:val="5D136865"/>
    <w:rsid w:val="5D3B4F92"/>
    <w:rsid w:val="5D4D4958"/>
    <w:rsid w:val="5D59154F"/>
    <w:rsid w:val="5D8C4958"/>
    <w:rsid w:val="5DB93D9B"/>
    <w:rsid w:val="5E941A28"/>
    <w:rsid w:val="5EEB267A"/>
    <w:rsid w:val="5F2D5331"/>
    <w:rsid w:val="6042338F"/>
    <w:rsid w:val="606338B8"/>
    <w:rsid w:val="606B5985"/>
    <w:rsid w:val="60765F74"/>
    <w:rsid w:val="608508AD"/>
    <w:rsid w:val="619012B7"/>
    <w:rsid w:val="61DF1A0C"/>
    <w:rsid w:val="62651CA8"/>
    <w:rsid w:val="628B14EF"/>
    <w:rsid w:val="62B47227"/>
    <w:rsid w:val="62C566D9"/>
    <w:rsid w:val="62DE72F0"/>
    <w:rsid w:val="62EE3DC8"/>
    <w:rsid w:val="635803F6"/>
    <w:rsid w:val="63E55D81"/>
    <w:rsid w:val="64061D04"/>
    <w:rsid w:val="642B176B"/>
    <w:rsid w:val="655F4217"/>
    <w:rsid w:val="65E16585"/>
    <w:rsid w:val="663929E6"/>
    <w:rsid w:val="66B930A5"/>
    <w:rsid w:val="66EF019D"/>
    <w:rsid w:val="677D6FB6"/>
    <w:rsid w:val="67852F40"/>
    <w:rsid w:val="67ED7AC0"/>
    <w:rsid w:val="67F914A2"/>
    <w:rsid w:val="68303E6A"/>
    <w:rsid w:val="683C5529"/>
    <w:rsid w:val="6844104D"/>
    <w:rsid w:val="68907DEF"/>
    <w:rsid w:val="68C84899"/>
    <w:rsid w:val="68E36170"/>
    <w:rsid w:val="69851184"/>
    <w:rsid w:val="6A102F95"/>
    <w:rsid w:val="6A4B4AA6"/>
    <w:rsid w:val="6A6C15CE"/>
    <w:rsid w:val="6AAF6C52"/>
    <w:rsid w:val="6BD03361"/>
    <w:rsid w:val="6C64581A"/>
    <w:rsid w:val="6CE84E5E"/>
    <w:rsid w:val="6D7E290C"/>
    <w:rsid w:val="6E350C9B"/>
    <w:rsid w:val="6F9805F4"/>
    <w:rsid w:val="6FB2689C"/>
    <w:rsid w:val="70531E2E"/>
    <w:rsid w:val="70FF3D63"/>
    <w:rsid w:val="716A38D3"/>
    <w:rsid w:val="71791D68"/>
    <w:rsid w:val="737C48EA"/>
    <w:rsid w:val="73B76B77"/>
    <w:rsid w:val="73EC5E07"/>
    <w:rsid w:val="745821A6"/>
    <w:rsid w:val="74E120FE"/>
    <w:rsid w:val="754B3A1B"/>
    <w:rsid w:val="75FE0072"/>
    <w:rsid w:val="767A0CF0"/>
    <w:rsid w:val="76860574"/>
    <w:rsid w:val="775070C7"/>
    <w:rsid w:val="77562203"/>
    <w:rsid w:val="775C68BF"/>
    <w:rsid w:val="777405FE"/>
    <w:rsid w:val="77DA1086"/>
    <w:rsid w:val="77E66F9F"/>
    <w:rsid w:val="781E7BA4"/>
    <w:rsid w:val="78A564C9"/>
    <w:rsid w:val="79AF15E5"/>
    <w:rsid w:val="7A601D17"/>
    <w:rsid w:val="7A791782"/>
    <w:rsid w:val="7B7C65DB"/>
    <w:rsid w:val="7BCA793F"/>
    <w:rsid w:val="7BDA3403"/>
    <w:rsid w:val="7C740680"/>
    <w:rsid w:val="7C7A5FFD"/>
    <w:rsid w:val="7D8956DA"/>
    <w:rsid w:val="7E723DC7"/>
    <w:rsid w:val="7F080287"/>
    <w:rsid w:val="7FE9630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5"/>
    <w:qFormat/>
    <w:uiPriority w:val="9"/>
    <w:pPr>
      <w:keepNext/>
      <w:keepLines/>
      <w:spacing w:before="260" w:after="260" w:line="416" w:lineRule="auto"/>
      <w:outlineLvl w:val="1"/>
    </w:pPr>
    <w:rPr>
      <w:rFonts w:ascii="Cambria" w:hAnsi="Cambria" w:cs="宋体"/>
      <w:b/>
      <w:bCs/>
      <w:sz w:val="32"/>
      <w:szCs w:val="32"/>
    </w:rPr>
  </w:style>
  <w:style w:type="paragraph" w:styleId="2">
    <w:name w:val="heading 3"/>
    <w:basedOn w:val="1"/>
    <w:next w:val="1"/>
    <w:link w:val="28"/>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annotation text"/>
    <w:link w:val="42"/>
    <w:qFormat/>
    <w:uiPriority w:val="0"/>
    <w:pPr>
      <w:widowControl w:val="0"/>
      <w:spacing w:before="119" w:line="331" w:lineRule="auto"/>
      <w:ind w:firstLine="420"/>
      <w:jc w:val="both"/>
    </w:pPr>
    <w:rPr>
      <w:rFonts w:ascii="Arial Unicode MS" w:hAnsi="Arial Unicode MS" w:eastAsia="Arial Unicode MS" w:cs="Arial Unicode MS"/>
      <w:color w:val="000000"/>
      <w:u w:color="000000"/>
      <w:lang w:val="en-US" w:eastAsia="zh-CN" w:bidi="ar-SA"/>
    </w:rPr>
  </w:style>
  <w:style w:type="paragraph" w:styleId="6">
    <w:name w:val="toc 3"/>
    <w:basedOn w:val="1"/>
    <w:next w:val="1"/>
    <w:qFormat/>
    <w:uiPriority w:val="39"/>
    <w:pPr>
      <w:ind w:left="840" w:leftChars="400"/>
    </w:pPr>
  </w:style>
  <w:style w:type="paragraph" w:styleId="7">
    <w:name w:val="Plain Text"/>
    <w:basedOn w:val="1"/>
    <w:link w:val="30"/>
    <w:qFormat/>
    <w:uiPriority w:val="0"/>
    <w:rPr>
      <w:rFonts w:ascii="宋体" w:hAnsi="Courier New"/>
      <w:szCs w:val="21"/>
    </w:rPr>
  </w:style>
  <w:style w:type="paragraph" w:styleId="8">
    <w:name w:val="Balloon Text"/>
    <w:basedOn w:val="1"/>
    <w:link w:val="32"/>
    <w:qFormat/>
    <w:uiPriority w:val="99"/>
    <w:rPr>
      <w:sz w:val="18"/>
      <w:szCs w:val="18"/>
    </w:rPr>
  </w:style>
  <w:style w:type="paragraph" w:styleId="9">
    <w:name w:val="footer"/>
    <w:basedOn w:val="1"/>
    <w:link w:val="23"/>
    <w:qFormat/>
    <w:uiPriority w:val="99"/>
    <w:pPr>
      <w:tabs>
        <w:tab w:val="center" w:pos="4153"/>
        <w:tab w:val="right" w:pos="8306"/>
      </w:tabs>
      <w:snapToGrid w:val="0"/>
      <w:jc w:val="left"/>
    </w:pPr>
    <w:rPr>
      <w:sz w:val="18"/>
      <w:szCs w:val="18"/>
    </w:rPr>
  </w:style>
  <w:style w:type="paragraph" w:styleId="10">
    <w:name w:val="header"/>
    <w:basedOn w:val="1"/>
    <w:link w:val="22"/>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style>
  <w:style w:type="paragraph" w:styleId="12">
    <w:name w:val="toc 2"/>
    <w:basedOn w:val="1"/>
    <w:next w:val="1"/>
    <w:qFormat/>
    <w:uiPriority w:val="39"/>
    <w:pPr>
      <w:ind w:left="420" w:leftChars="200"/>
    </w:pPr>
  </w:style>
  <w:style w:type="paragraph" w:styleId="13">
    <w:name w:val="annotation subject"/>
    <w:basedOn w:val="5"/>
    <w:next w:val="5"/>
    <w:link w:val="43"/>
    <w:semiHidden/>
    <w:unhideWhenUsed/>
    <w:qFormat/>
    <w:uiPriority w:val="99"/>
    <w:pPr>
      <w:spacing w:before="0" w:line="240" w:lineRule="auto"/>
      <w:ind w:firstLine="0"/>
      <w:jc w:val="left"/>
    </w:pPr>
    <w:rPr>
      <w:rFonts w:ascii="Times New Roman" w:hAnsi="Times New Roman" w:eastAsia="宋体" w:cs="Times New Roman"/>
      <w:b/>
      <w:bCs/>
      <w:color w:val="auto"/>
      <w:kern w:val="2"/>
      <w:sz w:val="21"/>
      <w:szCs w:val="24"/>
    </w:rPr>
  </w:style>
  <w:style w:type="character" w:styleId="16">
    <w:name w:val="Strong"/>
    <w:basedOn w:val="15"/>
    <w:qFormat/>
    <w:uiPriority w:val="22"/>
    <w:rPr>
      <w:b/>
      <w:bCs/>
    </w:rPr>
  </w:style>
  <w:style w:type="character" w:styleId="17">
    <w:name w:val="page number"/>
    <w:qFormat/>
    <w:uiPriority w:val="0"/>
    <w:rPr>
      <w:lang w:val="zh-TW" w:eastAsia="zh-TW"/>
    </w:rPr>
  </w:style>
  <w:style w:type="character" w:styleId="18">
    <w:name w:val="FollowedHyperlink"/>
    <w:basedOn w:val="15"/>
    <w:qFormat/>
    <w:uiPriority w:val="99"/>
    <w:rPr>
      <w:color w:val="333333"/>
      <w:u w:val="none"/>
    </w:rPr>
  </w:style>
  <w:style w:type="character" w:styleId="19">
    <w:name w:val="Emphasis"/>
    <w:basedOn w:val="15"/>
    <w:qFormat/>
    <w:uiPriority w:val="20"/>
  </w:style>
  <w:style w:type="character" w:styleId="20">
    <w:name w:val="Hyperlink"/>
    <w:basedOn w:val="15"/>
    <w:qFormat/>
    <w:uiPriority w:val="99"/>
    <w:rPr>
      <w:color w:val="0000FF"/>
      <w:u w:val="single"/>
    </w:rPr>
  </w:style>
  <w:style w:type="character" w:styleId="21">
    <w:name w:val="annotation reference"/>
    <w:basedOn w:val="15"/>
    <w:semiHidden/>
    <w:unhideWhenUsed/>
    <w:qFormat/>
    <w:uiPriority w:val="99"/>
    <w:rPr>
      <w:sz w:val="21"/>
      <w:szCs w:val="21"/>
    </w:rPr>
  </w:style>
  <w:style w:type="character" w:customStyle="1" w:styleId="22">
    <w:name w:val="页眉 字符"/>
    <w:basedOn w:val="15"/>
    <w:link w:val="10"/>
    <w:qFormat/>
    <w:uiPriority w:val="99"/>
    <w:rPr>
      <w:sz w:val="18"/>
      <w:szCs w:val="18"/>
    </w:rPr>
  </w:style>
  <w:style w:type="character" w:customStyle="1" w:styleId="23">
    <w:name w:val="页脚 字符"/>
    <w:basedOn w:val="15"/>
    <w:link w:val="9"/>
    <w:qFormat/>
    <w:uiPriority w:val="99"/>
    <w:rPr>
      <w:sz w:val="18"/>
      <w:szCs w:val="18"/>
    </w:rPr>
  </w:style>
  <w:style w:type="character" w:customStyle="1" w:styleId="24">
    <w:name w:val="标题 1 字符"/>
    <w:basedOn w:val="15"/>
    <w:link w:val="3"/>
    <w:qFormat/>
    <w:uiPriority w:val="9"/>
    <w:rPr>
      <w:rFonts w:ascii="Times New Roman" w:hAnsi="Times New Roman" w:eastAsia="宋体" w:cs="Times New Roman"/>
      <w:b/>
      <w:bCs/>
      <w:kern w:val="44"/>
      <w:sz w:val="44"/>
      <w:szCs w:val="44"/>
    </w:rPr>
  </w:style>
  <w:style w:type="character" w:customStyle="1" w:styleId="25">
    <w:name w:val="标题 2 字符"/>
    <w:basedOn w:val="15"/>
    <w:link w:val="4"/>
    <w:qFormat/>
    <w:uiPriority w:val="9"/>
    <w:rPr>
      <w:rFonts w:ascii="Cambria" w:hAnsi="Cambria" w:eastAsia="宋体" w:cs="宋体"/>
      <w:b/>
      <w:bCs/>
      <w:sz w:val="32"/>
      <w:szCs w:val="32"/>
    </w:rPr>
  </w:style>
  <w:style w:type="paragraph" w:styleId="26">
    <w:name w:val="List Paragraph"/>
    <w:basedOn w:val="1"/>
    <w:link w:val="27"/>
    <w:qFormat/>
    <w:uiPriority w:val="34"/>
    <w:pPr>
      <w:ind w:firstLine="420" w:firstLineChars="200"/>
    </w:pPr>
  </w:style>
  <w:style w:type="character" w:customStyle="1" w:styleId="27">
    <w:name w:val="列表段落 字符"/>
    <w:link w:val="26"/>
    <w:qFormat/>
    <w:uiPriority w:val="34"/>
    <w:rPr>
      <w:rFonts w:ascii="Times New Roman" w:hAnsi="Times New Roman" w:eastAsia="宋体" w:cs="Times New Roman"/>
      <w:szCs w:val="24"/>
    </w:rPr>
  </w:style>
  <w:style w:type="character" w:customStyle="1" w:styleId="28">
    <w:name w:val="标题 3 字符"/>
    <w:basedOn w:val="15"/>
    <w:link w:val="2"/>
    <w:qFormat/>
    <w:uiPriority w:val="9"/>
    <w:rPr>
      <w:rFonts w:ascii="Times New Roman" w:hAnsi="Times New Roman" w:eastAsia="宋体" w:cs="Times New Roman"/>
      <w:b/>
      <w:bCs/>
      <w:sz w:val="32"/>
      <w:szCs w:val="32"/>
    </w:rPr>
  </w:style>
  <w:style w:type="paragraph" w:customStyle="1" w:styleId="29">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30">
    <w:name w:val="纯文本 字符"/>
    <w:basedOn w:val="15"/>
    <w:link w:val="7"/>
    <w:qFormat/>
    <w:uiPriority w:val="0"/>
    <w:rPr>
      <w:rFonts w:ascii="宋体" w:hAnsi="Courier New" w:eastAsia="宋体" w:cs="Times New Roman"/>
      <w:szCs w:val="21"/>
    </w:rPr>
  </w:style>
  <w:style w:type="paragraph" w:customStyle="1" w:styleId="31">
    <w:name w:val="TOC 标题1"/>
    <w:basedOn w:val="3"/>
    <w:next w:val="1"/>
    <w:qFormat/>
    <w:uiPriority w:val="39"/>
    <w:pPr>
      <w:widowControl/>
      <w:spacing w:before="480" w:after="0" w:line="276" w:lineRule="auto"/>
      <w:jc w:val="left"/>
      <w:outlineLvl w:val="9"/>
    </w:pPr>
    <w:rPr>
      <w:rFonts w:ascii="Cambria" w:hAnsi="Cambria" w:cs="宋体"/>
      <w:color w:val="365F91"/>
      <w:kern w:val="0"/>
      <w:sz w:val="28"/>
      <w:szCs w:val="28"/>
    </w:rPr>
  </w:style>
  <w:style w:type="character" w:customStyle="1" w:styleId="32">
    <w:name w:val="批注框文本 字符"/>
    <w:basedOn w:val="15"/>
    <w:link w:val="8"/>
    <w:qFormat/>
    <w:uiPriority w:val="99"/>
    <w:rPr>
      <w:rFonts w:ascii="Times New Roman" w:hAnsi="Times New Roman" w:eastAsia="宋体" w:cs="Times New Roman"/>
      <w:sz w:val="18"/>
      <w:szCs w:val="18"/>
    </w:rPr>
  </w:style>
  <w:style w:type="character" w:customStyle="1" w:styleId="33">
    <w:name w:val="font01"/>
    <w:basedOn w:val="15"/>
    <w:qFormat/>
    <w:uiPriority w:val="99"/>
    <w:rPr>
      <w:rFonts w:ascii="等线" w:hAnsi="等线" w:eastAsia="等线" w:cs="等线"/>
      <w:color w:val="000000"/>
      <w:sz w:val="22"/>
      <w:szCs w:val="22"/>
      <w:u w:val="none"/>
    </w:rPr>
  </w:style>
  <w:style w:type="paragraph" w:customStyle="1" w:styleId="34">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5">
    <w:name w:val="无"/>
    <w:qFormat/>
    <w:uiPriority w:val="0"/>
  </w:style>
  <w:style w:type="character" w:customStyle="1" w:styleId="36">
    <w:name w:val="NormalCharacter"/>
    <w:qFormat/>
    <w:uiPriority w:val="0"/>
  </w:style>
  <w:style w:type="paragraph" w:customStyle="1" w:styleId="37">
    <w:name w:val="BodyTextIndent"/>
    <w:basedOn w:val="1"/>
    <w:qFormat/>
    <w:uiPriority w:val="0"/>
    <w:pPr>
      <w:widowControl/>
      <w:ind w:firstLine="630"/>
      <w:textAlignment w:val="baseline"/>
    </w:pPr>
    <w:rPr>
      <w:rFonts w:ascii="Calibri" w:hAnsi="Calibri" w:cs="宋体"/>
      <w:sz w:val="32"/>
      <w:szCs w:val="20"/>
    </w:rPr>
  </w:style>
  <w:style w:type="paragraph" w:customStyle="1" w:styleId="38">
    <w:name w:val="TOC2"/>
    <w:basedOn w:val="1"/>
    <w:next w:val="1"/>
    <w:qFormat/>
    <w:uiPriority w:val="0"/>
    <w:pPr>
      <w:widowControl/>
      <w:ind w:left="200"/>
      <w:jc w:val="left"/>
      <w:textAlignment w:val="baseline"/>
    </w:pPr>
    <w:rPr>
      <w:rFonts w:ascii="Calibri" w:hAnsi="Calibri" w:cs="宋体"/>
      <w:b/>
      <w:smallCaps/>
      <w:kern w:val="0"/>
      <w:sz w:val="20"/>
      <w:szCs w:val="20"/>
    </w:rPr>
  </w:style>
  <w:style w:type="paragraph" w:customStyle="1" w:styleId="39">
    <w:name w:val="Table Paragraph"/>
    <w:basedOn w:val="1"/>
    <w:qFormat/>
    <w:uiPriority w:val="99"/>
    <w:pPr>
      <w:widowControl/>
      <w:textAlignment w:val="baseline"/>
    </w:pPr>
    <w:rPr>
      <w:rFonts w:hint="eastAsia" w:ascii="Calibri" w:hAnsi="Calibri" w:cs="宋体"/>
      <w:sz w:val="24"/>
      <w:szCs w:val="20"/>
    </w:rPr>
  </w:style>
  <w:style w:type="character" w:customStyle="1" w:styleId="40">
    <w:name w:val="UserStyle_0"/>
    <w:qFormat/>
    <w:uiPriority w:val="0"/>
    <w:rPr>
      <w:kern w:val="2"/>
      <w:sz w:val="21"/>
      <w:lang w:val="en-US" w:eastAsia="zh-CN" w:bidi="ar-SA"/>
    </w:rPr>
  </w:style>
  <w:style w:type="paragraph" w:customStyle="1" w:styleId="41">
    <w:name w:val="UserStyle_11"/>
    <w:basedOn w:val="1"/>
    <w:next w:val="1"/>
    <w:qFormat/>
    <w:uiPriority w:val="0"/>
    <w:pPr>
      <w:widowControl/>
      <w:spacing w:after="120"/>
      <w:ind w:left="420" w:leftChars="200"/>
      <w:textAlignment w:val="baseline"/>
    </w:pPr>
    <w:rPr>
      <w:rFonts w:ascii="Calibri" w:hAnsi="Calibri" w:cs="宋体"/>
      <w:sz w:val="28"/>
      <w:szCs w:val="20"/>
    </w:rPr>
  </w:style>
  <w:style w:type="character" w:customStyle="1" w:styleId="42">
    <w:name w:val="批注文字 字符"/>
    <w:basedOn w:val="15"/>
    <w:link w:val="5"/>
    <w:qFormat/>
    <w:uiPriority w:val="0"/>
    <w:rPr>
      <w:rFonts w:ascii="Arial Unicode MS" w:hAnsi="Arial Unicode MS" w:eastAsia="Arial Unicode MS" w:cs="Arial Unicode MS"/>
      <w:color w:val="000000"/>
      <w:u w:color="000000"/>
    </w:rPr>
  </w:style>
  <w:style w:type="character" w:customStyle="1" w:styleId="43">
    <w:name w:val="批注主题 字符"/>
    <w:basedOn w:val="42"/>
    <w:link w:val="13"/>
    <w:semiHidden/>
    <w:qFormat/>
    <w:uiPriority w:val="99"/>
    <w:rPr>
      <w:rFonts w:ascii="Arial Unicode MS" w:hAnsi="Arial Unicode MS" w:eastAsia="Arial Unicode MS" w:cs="Arial Unicode MS"/>
      <w:b/>
      <w:bCs/>
      <w:color w:val="000000"/>
      <w:kern w:val="2"/>
      <w:sz w:val="21"/>
      <w:szCs w:val="24"/>
      <w:u w:color="000000"/>
    </w:rPr>
  </w:style>
  <w:style w:type="character" w:customStyle="1" w:styleId="44">
    <w:name w:val="font21"/>
    <w:basedOn w:val="15"/>
    <w:qFormat/>
    <w:uiPriority w:val="0"/>
    <w:rPr>
      <w:rFonts w:hint="eastAsia" w:ascii="宋体" w:hAnsi="宋体" w:eastAsia="宋体" w:cs="宋体"/>
      <w:color w:val="000000"/>
      <w:sz w:val="24"/>
      <w:szCs w:val="24"/>
      <w:u w:val="none"/>
    </w:rPr>
  </w:style>
  <w:style w:type="character" w:customStyle="1" w:styleId="45">
    <w:name w:val="font11"/>
    <w:basedOn w:val="15"/>
    <w:qFormat/>
    <w:uiPriority w:val="0"/>
    <w:rPr>
      <w:rFonts w:hint="eastAsia" w:ascii="宋体" w:hAnsi="宋体" w:eastAsia="宋体" w:cs="宋体"/>
      <w:color w:val="000000"/>
      <w:sz w:val="24"/>
      <w:szCs w:val="24"/>
      <w:u w:val="none"/>
    </w:rPr>
  </w:style>
  <w:style w:type="character" w:customStyle="1" w:styleId="46">
    <w:name w:val="font31"/>
    <w:basedOn w:val="15"/>
    <w:qFormat/>
    <w:uiPriority w:val="0"/>
    <w:rPr>
      <w:rFonts w:hint="eastAsia" w:ascii="宋体" w:hAnsi="宋体" w:eastAsia="宋体" w:cs="宋体"/>
      <w:color w:val="000000"/>
      <w:sz w:val="24"/>
      <w:szCs w:val="24"/>
      <w:u w:val="none"/>
    </w:rPr>
  </w:style>
  <w:style w:type="paragraph" w:customStyle="1" w:styleId="47">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BE5A53-9757-4BAB-ABF7-CC51C09686A6}">
  <ds:schemaRefs/>
</ds:datastoreItem>
</file>

<file path=docProps/app.xml><?xml version="1.0" encoding="utf-8"?>
<Properties xmlns="http://schemas.openxmlformats.org/officeDocument/2006/extended-properties" xmlns:vt="http://schemas.openxmlformats.org/officeDocument/2006/docPropsVTypes">
  <Template>Normal.dotm</Template>
  <Company>Tuan</Company>
  <Pages>40</Pages>
  <Words>2966</Words>
  <Characters>16909</Characters>
  <Lines>140</Lines>
  <Paragraphs>39</Paragraphs>
  <TotalTime>112</TotalTime>
  <ScaleCrop>false</ScaleCrop>
  <LinksUpToDate>false</LinksUpToDate>
  <CharactersWithSpaces>19836</CharactersWithSpaces>
  <Application>WPS Office_11.1.0.13020_F1E327BC-269C-435d-A152-05C5408002CA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2021-07-06T01:19:00Z</dcterms:created>
  <dc:creator>李佳</dc:creator>
  <cp:lastModifiedBy>1126346032</cp:lastModifiedBy>
  <cp:lastPrinted>2023-02-21T02:44:00Z</cp:lastPrinted>
  <dcterms:modified xsi:type="dcterms:W3CDTF">2023-03-01T02:53:29Z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2052-11.1.0.13020</vt:lpwstr>
  </property>
  <property fmtid="{D5CDD505-2E9C-101B-9397-08002B2CF9AE}" pid="3" name="_2015_ms_pID_725343">
    <vt:lpwstr>(3)3Z3zOe68hkEdnJs89gDdcOZ+H2axppTd6THw1YRyMTpq54oC+DKl1Ad9pHW7ezEFBeCUhEAM
4usv7ZrL/mUww5fifUJ5i8bUXQ8wPDqpOftZTKtpIweuW22pNKyQFD10Q8aL6kk5grnZvqcA
wP4KHUbmQt5M5IC5UggMhY/0+jEWn/5HxmN9ZLAgPjmZHycRdcbAy/yxv3t/RnRxteoGYDhF
A93k1KvVolhlDTVsjf</vt:lpwstr>
  </property>
  <property fmtid="{D5CDD505-2E9C-101B-9397-08002B2CF9AE}" pid="4" name="_2015_ms_pID_7253431">
    <vt:lpwstr>6lXU68tOuuoNWa/CXSEs42uArTxDJtG83aQIyoPISTIOcfxu+ZkwBW
xkNxdha3LObO6mvzEqImRTraPDa2np0cZF4e8F4zHFKZY5K7pPcd7H8z7tiz62tJjA3OFsDf
H12Y0QtxnYNBtmA+ucDHdCiThFjMwMOdpBA7TK/qmnlBllYe8ASdMrnn/MRGHRqFbO3Zrkh1
w/bkIO1jeRCJBeuv2ghJWjGK20eXt5CSbo5w</vt:lpwstr>
  </property>
  <property fmtid="{D5CDD505-2E9C-101B-9397-08002B2CF9AE}" pid="5" name="_2015_ms_pID_7253432">
    <vt:lpwstr>u+IvqZIGXYpLQm9aDP6+Nhg=</vt:lpwstr>
  </property>
  <property fmtid="{D5CDD505-2E9C-101B-9397-08002B2CF9AE}" pid="6" name="ICV">
    <vt:lpwstr>FD87E8EB236C433B895BCF6887AACBF0</vt:lpwstr>
  </property>
  <property fmtid="{D5CDD505-2E9C-101B-9397-08002B2CF9AE}" pid="7" name="_readonly">
    <vt:lpwstr/>
  </property>
  <property fmtid="{D5CDD505-2E9C-101B-9397-08002B2CF9AE}" pid="8" name="_change">
    <vt:lpwstr/>
  </property>
  <property fmtid="{D5CDD505-2E9C-101B-9397-08002B2CF9AE}" pid="9" name="_full-control">
    <vt:lpwstr/>
  </property>
  <property fmtid="{D5CDD505-2E9C-101B-9397-08002B2CF9AE}" pid="10" name="sflag">
    <vt:lpwstr>1623122937</vt:lpwstr>
  </property>
</Properties>
</file>