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rFonts w:ascii="微软雅黑" w:hAnsi="微软雅黑" w:eastAsia="微软雅黑"/>
          <w:b/>
          <w:bCs/>
          <w:spacing w:val="26"/>
          <w:sz w:val="32"/>
          <w:szCs w:val="32"/>
        </w:rPr>
      </w:pPr>
      <w:r>
        <w:rPr>
          <w:rFonts w:hint="eastAsia" w:ascii="微软雅黑" w:hAnsi="微软雅黑" w:eastAsia="微软雅黑"/>
          <w:b/>
          <w:bCs/>
          <w:spacing w:val="26"/>
          <w:sz w:val="32"/>
          <w:szCs w:val="32"/>
          <w:highlight w:val="yellow"/>
        </w:rPr>
        <w:t>北  国  商  城  股  份  有  限  公  司</w:t>
      </w:r>
    </w:p>
    <w:p>
      <w:pPr>
        <w:adjustRightInd w:val="0"/>
        <w:snapToGrid w:val="0"/>
        <w:spacing w:line="360" w:lineRule="auto"/>
        <w:jc w:val="center"/>
        <w:rPr>
          <w:rFonts w:ascii="微软雅黑" w:hAnsi="微软雅黑" w:eastAsia="微软雅黑"/>
          <w:b/>
          <w:bCs/>
          <w:spacing w:val="26"/>
          <w:szCs w:val="21"/>
        </w:rPr>
      </w:pPr>
    </w:p>
    <w:p>
      <w:pPr>
        <w:adjustRightInd w:val="0"/>
        <w:snapToGrid w:val="0"/>
        <w:spacing w:line="360" w:lineRule="auto"/>
        <w:jc w:val="center"/>
        <w:rPr>
          <w:rFonts w:ascii="微软雅黑" w:hAnsi="微软雅黑" w:eastAsia="微软雅黑" w:cs="微软雅黑"/>
          <w:b/>
          <w:kern w:val="0"/>
          <w:szCs w:val="21"/>
        </w:rPr>
      </w:pPr>
      <w:r>
        <w:rPr>
          <w:rFonts w:hint="eastAsia" w:ascii="微软雅黑" w:hAnsi="微软雅黑" w:eastAsia="微软雅黑" w:cs="微软雅黑"/>
          <w:b/>
          <w:kern w:val="0"/>
          <w:sz w:val="32"/>
          <w:szCs w:val="32"/>
        </w:rPr>
        <w:t>北国汇新城信息机房建设项目</w:t>
      </w:r>
    </w:p>
    <w:p>
      <w:pPr>
        <w:adjustRightInd w:val="0"/>
        <w:snapToGrid w:val="0"/>
        <w:spacing w:line="360" w:lineRule="auto"/>
        <w:jc w:val="center"/>
        <w:rPr>
          <w:rFonts w:ascii="微软雅黑" w:hAnsi="微软雅黑" w:eastAsia="微软雅黑" w:cs="微软雅黑"/>
          <w:b/>
          <w:kern w:val="0"/>
          <w:szCs w:val="21"/>
        </w:rPr>
      </w:pPr>
    </w:p>
    <w:p>
      <w:pPr>
        <w:adjustRightInd w:val="0"/>
        <w:snapToGrid w:val="0"/>
        <w:spacing w:line="360" w:lineRule="auto"/>
        <w:jc w:val="center"/>
        <w:rPr>
          <w:rFonts w:ascii="微软雅黑" w:hAnsi="微软雅黑" w:eastAsia="微软雅黑"/>
          <w:b/>
          <w:bCs/>
          <w:spacing w:val="26"/>
          <w:sz w:val="32"/>
          <w:szCs w:val="32"/>
        </w:rPr>
      </w:pPr>
    </w:p>
    <w:p>
      <w:pPr>
        <w:adjustRightInd w:val="0"/>
        <w:snapToGrid w:val="0"/>
        <w:spacing w:line="360" w:lineRule="auto"/>
        <w:jc w:val="center"/>
        <w:rPr>
          <w:rFonts w:ascii="微软雅黑" w:hAnsi="微软雅黑" w:eastAsia="微软雅黑"/>
          <w:b/>
          <w:bCs/>
          <w:spacing w:val="48"/>
          <w:sz w:val="32"/>
          <w:szCs w:val="32"/>
        </w:rPr>
      </w:pPr>
    </w:p>
    <w:p>
      <w:pPr>
        <w:adjustRightInd w:val="0"/>
        <w:snapToGrid w:val="0"/>
        <w:spacing w:line="360" w:lineRule="auto"/>
        <w:jc w:val="center"/>
        <w:rPr>
          <w:rFonts w:ascii="微软雅黑" w:hAnsi="微软雅黑" w:eastAsia="微软雅黑"/>
          <w:b/>
          <w:bCs/>
          <w:spacing w:val="48"/>
          <w:sz w:val="32"/>
          <w:szCs w:val="32"/>
        </w:rPr>
      </w:pPr>
    </w:p>
    <w:p>
      <w:pPr>
        <w:adjustRightInd w:val="0"/>
        <w:snapToGrid w:val="0"/>
        <w:spacing w:line="360" w:lineRule="auto"/>
        <w:jc w:val="center"/>
        <w:rPr>
          <w:rFonts w:ascii="微软雅黑" w:hAnsi="微软雅黑" w:eastAsia="微软雅黑"/>
          <w:b/>
          <w:bCs/>
          <w:spacing w:val="48"/>
          <w:sz w:val="32"/>
          <w:szCs w:val="32"/>
        </w:rPr>
      </w:pPr>
      <w:r>
        <w:rPr>
          <w:rFonts w:hint="eastAsia" w:ascii="微软雅黑" w:hAnsi="微软雅黑" w:eastAsia="微软雅黑"/>
          <w:b/>
          <w:bCs/>
          <w:spacing w:val="48"/>
          <w:sz w:val="32"/>
          <w:szCs w:val="32"/>
        </w:rPr>
        <w:t>招</w:t>
      </w:r>
    </w:p>
    <w:p>
      <w:pPr>
        <w:adjustRightInd w:val="0"/>
        <w:snapToGrid w:val="0"/>
        <w:spacing w:line="360" w:lineRule="auto"/>
        <w:jc w:val="center"/>
        <w:rPr>
          <w:rFonts w:ascii="微软雅黑" w:hAnsi="微软雅黑" w:eastAsia="微软雅黑"/>
          <w:b/>
          <w:bCs/>
          <w:spacing w:val="48"/>
          <w:sz w:val="32"/>
          <w:szCs w:val="32"/>
        </w:rPr>
      </w:pPr>
      <w:r>
        <w:rPr>
          <w:rFonts w:hint="eastAsia" w:ascii="微软雅黑" w:hAnsi="微软雅黑" w:eastAsia="微软雅黑"/>
          <w:b/>
          <w:bCs/>
          <w:spacing w:val="48"/>
          <w:sz w:val="32"/>
          <w:szCs w:val="32"/>
        </w:rPr>
        <w:t>标</w:t>
      </w:r>
    </w:p>
    <w:p>
      <w:pPr>
        <w:adjustRightInd w:val="0"/>
        <w:snapToGrid w:val="0"/>
        <w:spacing w:line="360" w:lineRule="auto"/>
        <w:jc w:val="center"/>
        <w:rPr>
          <w:rFonts w:ascii="微软雅黑" w:hAnsi="微软雅黑" w:eastAsia="微软雅黑"/>
          <w:b/>
          <w:bCs/>
          <w:spacing w:val="48"/>
          <w:sz w:val="32"/>
          <w:szCs w:val="32"/>
        </w:rPr>
      </w:pPr>
      <w:r>
        <w:rPr>
          <w:rFonts w:hint="eastAsia" w:ascii="微软雅黑" w:hAnsi="微软雅黑" w:eastAsia="微软雅黑"/>
          <w:b/>
          <w:bCs/>
          <w:spacing w:val="48"/>
          <w:sz w:val="32"/>
          <w:szCs w:val="32"/>
        </w:rPr>
        <w:t>文</w:t>
      </w:r>
    </w:p>
    <w:p>
      <w:pPr>
        <w:adjustRightInd w:val="0"/>
        <w:snapToGrid w:val="0"/>
        <w:spacing w:line="360" w:lineRule="auto"/>
        <w:jc w:val="center"/>
        <w:rPr>
          <w:rFonts w:ascii="微软雅黑" w:hAnsi="微软雅黑" w:eastAsia="微软雅黑"/>
          <w:b/>
          <w:bCs/>
          <w:spacing w:val="5"/>
          <w:sz w:val="32"/>
          <w:szCs w:val="32"/>
        </w:rPr>
      </w:pPr>
      <w:r>
        <w:rPr>
          <w:rFonts w:hint="eastAsia" w:ascii="微软雅黑" w:hAnsi="微软雅黑" w:eastAsia="微软雅黑"/>
          <w:b/>
          <w:bCs/>
          <w:spacing w:val="5"/>
          <w:sz w:val="32"/>
          <w:szCs w:val="32"/>
        </w:rPr>
        <w:t>件</w:t>
      </w:r>
    </w:p>
    <w:p>
      <w:pPr>
        <w:adjustRightInd w:val="0"/>
        <w:snapToGrid w:val="0"/>
        <w:spacing w:line="360" w:lineRule="auto"/>
        <w:jc w:val="center"/>
        <w:rPr>
          <w:rFonts w:ascii="微软雅黑" w:hAnsi="微软雅黑" w:eastAsia="微软雅黑"/>
          <w:b/>
          <w:bCs/>
          <w:spacing w:val="5"/>
          <w:sz w:val="32"/>
          <w:szCs w:val="32"/>
        </w:rPr>
      </w:pPr>
    </w:p>
    <w:p>
      <w:pPr>
        <w:adjustRightInd w:val="0"/>
        <w:snapToGrid w:val="0"/>
        <w:spacing w:line="360" w:lineRule="auto"/>
        <w:jc w:val="center"/>
        <w:rPr>
          <w:rFonts w:ascii="微软雅黑" w:hAnsi="微软雅黑" w:eastAsia="微软雅黑"/>
          <w:b/>
          <w:bCs/>
          <w:spacing w:val="5"/>
          <w:sz w:val="32"/>
          <w:szCs w:val="32"/>
        </w:rPr>
      </w:pPr>
    </w:p>
    <w:p>
      <w:pPr>
        <w:adjustRightInd w:val="0"/>
        <w:snapToGrid w:val="0"/>
        <w:spacing w:line="360" w:lineRule="auto"/>
        <w:rPr>
          <w:rFonts w:ascii="微软雅黑" w:hAnsi="微软雅黑" w:eastAsia="微软雅黑"/>
          <w:b/>
          <w:bCs/>
          <w:spacing w:val="5"/>
          <w:sz w:val="32"/>
          <w:szCs w:val="32"/>
        </w:rPr>
      </w:pPr>
    </w:p>
    <w:p>
      <w:pPr>
        <w:autoSpaceDE w:val="0"/>
        <w:autoSpaceDN w:val="0"/>
        <w:adjustRightInd w:val="0"/>
        <w:spacing w:line="360" w:lineRule="auto"/>
        <w:rPr>
          <w:rFonts w:ascii="微软雅黑" w:hAnsi="微软雅黑" w:eastAsia="微软雅黑"/>
          <w:b/>
          <w:sz w:val="32"/>
          <w:szCs w:val="32"/>
        </w:rPr>
      </w:pPr>
      <w:r>
        <w:rPr>
          <w:rFonts w:hint="eastAsia" w:ascii="微软雅黑" w:hAnsi="微软雅黑" w:eastAsia="微软雅黑"/>
          <w:b/>
          <w:sz w:val="32"/>
          <w:szCs w:val="32"/>
        </w:rPr>
        <w:t xml:space="preserve">               招 标 人：北国股份有限公司</w:t>
      </w:r>
    </w:p>
    <w:p>
      <w:pPr>
        <w:widowControl/>
        <w:spacing w:line="360" w:lineRule="auto"/>
        <w:ind w:firstLine="2388" w:firstLineChars="746"/>
        <w:jc w:val="left"/>
        <w:rPr>
          <w:rFonts w:ascii="微软雅黑" w:hAnsi="微软雅黑" w:eastAsia="微软雅黑"/>
          <w:b/>
          <w:sz w:val="32"/>
          <w:szCs w:val="32"/>
        </w:rPr>
      </w:pPr>
      <w:r>
        <w:rPr>
          <w:rFonts w:hint="eastAsia" w:ascii="微软雅黑" w:hAnsi="微软雅黑" w:eastAsia="微软雅黑"/>
          <w:b/>
          <w:sz w:val="32"/>
          <w:szCs w:val="32"/>
        </w:rPr>
        <w:t xml:space="preserve">招标时间：2023年 7 月 </w:t>
      </w:r>
    </w:p>
    <w:p>
      <w:pPr>
        <w:widowControl/>
        <w:spacing w:line="360" w:lineRule="auto"/>
        <w:ind w:firstLine="2388" w:firstLineChars="746"/>
        <w:jc w:val="left"/>
        <w:rPr>
          <w:rFonts w:ascii="微软雅黑" w:hAnsi="微软雅黑" w:eastAsia="微软雅黑"/>
          <w:b/>
          <w:sz w:val="32"/>
          <w:szCs w:val="32"/>
          <w:u w:val="single"/>
        </w:rPr>
      </w:pPr>
      <w:r>
        <w:rPr>
          <w:rFonts w:hint="eastAsia" w:ascii="微软雅黑" w:hAnsi="微软雅黑" w:eastAsia="微软雅黑"/>
          <w:b/>
          <w:sz w:val="32"/>
          <w:szCs w:val="32"/>
        </w:rPr>
        <w:t>招标地点：</w:t>
      </w:r>
      <w:r>
        <w:rPr>
          <w:rFonts w:hint="eastAsia" w:ascii="微软雅黑" w:hAnsi="微软雅黑" w:eastAsia="微软雅黑"/>
          <w:b/>
          <w:color w:val="000000" w:themeColor="text1"/>
          <w:sz w:val="32"/>
          <w:szCs w:val="32"/>
          <w14:textFill>
            <w14:solidFill>
              <w14:schemeClr w14:val="tx1"/>
            </w14:solidFill>
          </w14:textFill>
        </w:rPr>
        <w:t>石家庄中山东路188号北国商城</w:t>
      </w:r>
    </w:p>
    <w:p>
      <w:pPr>
        <w:rPr>
          <w:rFonts w:ascii="微软雅黑" w:hAnsi="微软雅黑" w:eastAsia="微软雅黑"/>
        </w:rPr>
      </w:pPr>
    </w:p>
    <w:sdt>
      <w:sdtPr>
        <w:rPr>
          <w:rFonts w:ascii="Times New Roman" w:hAnsi="Times New Roman" w:eastAsia="宋体" w:cs="Times New Roman"/>
          <w:b w:val="0"/>
          <w:bCs w:val="0"/>
          <w:color w:val="auto"/>
          <w:kern w:val="2"/>
          <w:sz w:val="21"/>
          <w:szCs w:val="24"/>
          <w:lang w:val="zh-CN"/>
        </w:rPr>
        <w:id w:val="27025629"/>
        <w:docPartObj>
          <w:docPartGallery w:val="Table of Contents"/>
          <w:docPartUnique/>
        </w:docPartObj>
      </w:sdtPr>
      <w:sdtEndPr>
        <w:rPr>
          <w:rFonts w:ascii="Times New Roman" w:hAnsi="Times New Roman" w:eastAsia="宋体" w:cs="Times New Roman"/>
          <w:b w:val="0"/>
          <w:bCs w:val="0"/>
          <w:color w:val="auto"/>
          <w:kern w:val="2"/>
          <w:sz w:val="21"/>
          <w:szCs w:val="24"/>
          <w:lang w:val="en-US"/>
        </w:rPr>
      </w:sdtEndPr>
      <w:sdtContent>
        <w:p>
          <w:pPr>
            <w:pStyle w:val="31"/>
            <w:jc w:val="center"/>
          </w:pPr>
          <w:r>
            <w:rPr>
              <w:lang w:val="zh-CN"/>
            </w:rPr>
            <w:t>目录</w:t>
          </w:r>
        </w:p>
        <w:p>
          <w:pPr>
            <w:pStyle w:val="11"/>
            <w:tabs>
              <w:tab w:val="left" w:pos="420"/>
              <w:tab w:val="right" w:leader="dot" w:pos="9742"/>
            </w:tabs>
            <w:spacing w:line="0" w:lineRule="atLeast"/>
            <w:rPr>
              <w:rFonts w:ascii="微软雅黑" w:hAnsi="微软雅黑" w:eastAsia="微软雅黑" w:cstheme="minorBidi"/>
              <w:sz w:val="18"/>
              <w:szCs w:val="18"/>
            </w:rPr>
          </w:pPr>
          <w:r>
            <w:fldChar w:fldCharType="begin"/>
          </w:r>
          <w:r>
            <w:instrText xml:space="preserve"> TOC \o "1-3" \h \z \u </w:instrText>
          </w:r>
          <w:r>
            <w:fldChar w:fldCharType="separate"/>
          </w:r>
          <w:r>
            <w:fldChar w:fldCharType="begin"/>
          </w:r>
          <w:r>
            <w:instrText xml:space="preserve"> HYPERLINK \l "_Toc533173044" </w:instrText>
          </w:r>
          <w:r>
            <w:fldChar w:fldCharType="separate"/>
          </w:r>
          <w:r>
            <w:rPr>
              <w:rStyle w:val="16"/>
              <w:rFonts w:ascii="微软雅黑" w:hAnsi="微软雅黑" w:eastAsia="微软雅黑"/>
              <w:sz w:val="18"/>
              <w:szCs w:val="18"/>
            </w:rPr>
            <w:t>1.</w:t>
          </w:r>
          <w:r>
            <w:rPr>
              <w:rFonts w:ascii="微软雅黑" w:hAnsi="微软雅黑" w:eastAsia="微软雅黑" w:cstheme="minorBidi"/>
              <w:sz w:val="18"/>
              <w:szCs w:val="18"/>
            </w:rPr>
            <w:tab/>
          </w:r>
          <w:r>
            <w:rPr>
              <w:rStyle w:val="16"/>
              <w:rFonts w:hint="eastAsia" w:ascii="微软雅黑" w:hAnsi="微软雅黑" w:eastAsia="微软雅黑"/>
              <w:sz w:val="18"/>
              <w:szCs w:val="18"/>
            </w:rPr>
            <w:t>投标邀请</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_Toc533173044 \h </w:instrText>
          </w:r>
          <w:r>
            <w:rPr>
              <w:rFonts w:ascii="微软雅黑" w:hAnsi="微软雅黑" w:eastAsia="微软雅黑"/>
              <w:sz w:val="18"/>
              <w:szCs w:val="18"/>
            </w:rPr>
            <w:fldChar w:fldCharType="separate"/>
          </w:r>
          <w:r>
            <w:rPr>
              <w:rFonts w:ascii="微软雅黑" w:hAnsi="微软雅黑" w:eastAsia="微软雅黑"/>
              <w:sz w:val="18"/>
              <w:szCs w:val="18"/>
            </w:rPr>
            <w:t>3</w:t>
          </w:r>
          <w:r>
            <w:rPr>
              <w:rFonts w:ascii="微软雅黑" w:hAnsi="微软雅黑" w:eastAsia="微软雅黑"/>
              <w:sz w:val="18"/>
              <w:szCs w:val="18"/>
            </w:rPr>
            <w:fldChar w:fldCharType="end"/>
          </w:r>
          <w:r>
            <w:rPr>
              <w:rFonts w:ascii="微软雅黑" w:hAnsi="微软雅黑" w:eastAsia="微软雅黑"/>
              <w:sz w:val="18"/>
              <w:szCs w:val="18"/>
            </w:rPr>
            <w:fldChar w:fldCharType="end"/>
          </w:r>
        </w:p>
        <w:p>
          <w:pPr>
            <w:pStyle w:val="11"/>
            <w:tabs>
              <w:tab w:val="right" w:leader="dot" w:pos="9742"/>
            </w:tabs>
            <w:spacing w:line="0" w:lineRule="atLeast"/>
            <w:rPr>
              <w:rFonts w:ascii="微软雅黑" w:hAnsi="微软雅黑" w:eastAsia="微软雅黑" w:cstheme="minorBidi"/>
              <w:sz w:val="18"/>
              <w:szCs w:val="18"/>
            </w:rPr>
          </w:pPr>
          <w:r>
            <w:fldChar w:fldCharType="begin"/>
          </w:r>
          <w:r>
            <w:instrText xml:space="preserve"> HYPERLINK \l "_Toc533173045" </w:instrText>
          </w:r>
          <w:r>
            <w:fldChar w:fldCharType="separate"/>
          </w:r>
          <w:r>
            <w:rPr>
              <w:rStyle w:val="16"/>
              <w:rFonts w:ascii="微软雅黑" w:hAnsi="微软雅黑" w:eastAsia="微软雅黑"/>
              <w:sz w:val="18"/>
              <w:szCs w:val="18"/>
            </w:rPr>
            <w:t>2.</w:t>
          </w:r>
          <w:r>
            <w:rPr>
              <w:rStyle w:val="16"/>
              <w:rFonts w:hint="eastAsia" w:ascii="微软雅黑" w:hAnsi="微软雅黑" w:eastAsia="微软雅黑"/>
              <w:sz w:val="18"/>
              <w:szCs w:val="18"/>
            </w:rPr>
            <w:t>投标须知</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_Toc533173045 \h </w:instrText>
          </w:r>
          <w:r>
            <w:rPr>
              <w:rFonts w:ascii="微软雅黑" w:hAnsi="微软雅黑" w:eastAsia="微软雅黑"/>
              <w:sz w:val="18"/>
              <w:szCs w:val="18"/>
            </w:rPr>
            <w:fldChar w:fldCharType="separate"/>
          </w:r>
          <w:r>
            <w:rPr>
              <w:rFonts w:ascii="微软雅黑" w:hAnsi="微软雅黑" w:eastAsia="微软雅黑"/>
              <w:sz w:val="18"/>
              <w:szCs w:val="18"/>
            </w:rPr>
            <w:t>5</w:t>
          </w:r>
          <w:r>
            <w:rPr>
              <w:rFonts w:ascii="微软雅黑" w:hAnsi="微软雅黑" w:eastAsia="微软雅黑"/>
              <w:sz w:val="18"/>
              <w:szCs w:val="18"/>
            </w:rPr>
            <w:fldChar w:fldCharType="end"/>
          </w:r>
          <w:r>
            <w:rPr>
              <w:rFonts w:ascii="微软雅黑" w:hAnsi="微软雅黑" w:eastAsia="微软雅黑"/>
              <w:sz w:val="18"/>
              <w:szCs w:val="18"/>
            </w:rPr>
            <w:fldChar w:fldCharType="end"/>
          </w:r>
        </w:p>
        <w:p>
          <w:pPr>
            <w:pStyle w:val="12"/>
            <w:tabs>
              <w:tab w:val="right" w:leader="dot" w:pos="9742"/>
            </w:tabs>
            <w:spacing w:line="0" w:lineRule="atLeast"/>
            <w:rPr>
              <w:rFonts w:ascii="微软雅黑" w:hAnsi="微软雅黑" w:eastAsia="微软雅黑" w:cstheme="minorBidi"/>
              <w:sz w:val="18"/>
              <w:szCs w:val="18"/>
            </w:rPr>
          </w:pPr>
          <w:r>
            <w:fldChar w:fldCharType="begin"/>
          </w:r>
          <w:r>
            <w:instrText xml:space="preserve"> HYPERLINK \l "_Toc533173046" </w:instrText>
          </w:r>
          <w:r>
            <w:fldChar w:fldCharType="separate"/>
          </w:r>
          <w:r>
            <w:rPr>
              <w:rStyle w:val="16"/>
              <w:rFonts w:ascii="微软雅黑" w:hAnsi="微软雅黑" w:eastAsia="微软雅黑"/>
              <w:sz w:val="18"/>
              <w:szCs w:val="18"/>
            </w:rPr>
            <w:t>2.1</w:t>
          </w:r>
          <w:r>
            <w:rPr>
              <w:rStyle w:val="16"/>
              <w:rFonts w:hint="eastAsia" w:ascii="微软雅黑" w:hAnsi="微软雅黑" w:eastAsia="微软雅黑"/>
              <w:sz w:val="18"/>
              <w:szCs w:val="18"/>
            </w:rPr>
            <w:t>概述</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_Toc533173046 \h </w:instrText>
          </w:r>
          <w:r>
            <w:rPr>
              <w:rFonts w:ascii="微软雅黑" w:hAnsi="微软雅黑" w:eastAsia="微软雅黑"/>
              <w:sz w:val="18"/>
              <w:szCs w:val="18"/>
            </w:rPr>
            <w:fldChar w:fldCharType="separate"/>
          </w:r>
          <w:r>
            <w:rPr>
              <w:rFonts w:ascii="微软雅黑" w:hAnsi="微软雅黑" w:eastAsia="微软雅黑"/>
              <w:sz w:val="18"/>
              <w:szCs w:val="18"/>
            </w:rPr>
            <w:t>5</w:t>
          </w:r>
          <w:r>
            <w:rPr>
              <w:rFonts w:ascii="微软雅黑" w:hAnsi="微软雅黑" w:eastAsia="微软雅黑"/>
              <w:sz w:val="18"/>
              <w:szCs w:val="18"/>
            </w:rPr>
            <w:fldChar w:fldCharType="end"/>
          </w:r>
          <w:r>
            <w:rPr>
              <w:rFonts w:ascii="微软雅黑" w:hAnsi="微软雅黑" w:eastAsia="微软雅黑"/>
              <w:sz w:val="18"/>
              <w:szCs w:val="18"/>
            </w:rPr>
            <w:fldChar w:fldCharType="end"/>
          </w:r>
        </w:p>
        <w:p>
          <w:pPr>
            <w:pStyle w:val="12"/>
            <w:tabs>
              <w:tab w:val="right" w:leader="dot" w:pos="9742"/>
            </w:tabs>
            <w:spacing w:line="0" w:lineRule="atLeast"/>
            <w:rPr>
              <w:rFonts w:ascii="微软雅黑" w:hAnsi="微软雅黑" w:eastAsia="微软雅黑" w:cstheme="minorBidi"/>
              <w:sz w:val="18"/>
              <w:szCs w:val="18"/>
            </w:rPr>
          </w:pPr>
          <w:r>
            <w:fldChar w:fldCharType="begin"/>
          </w:r>
          <w:r>
            <w:instrText xml:space="preserve"> HYPERLINK \l "_Toc533173047" </w:instrText>
          </w:r>
          <w:r>
            <w:fldChar w:fldCharType="separate"/>
          </w:r>
          <w:r>
            <w:rPr>
              <w:rStyle w:val="16"/>
              <w:rFonts w:ascii="微软雅黑" w:hAnsi="微软雅黑" w:eastAsia="微软雅黑"/>
              <w:sz w:val="18"/>
              <w:szCs w:val="18"/>
            </w:rPr>
            <w:t>2.2</w:t>
          </w:r>
          <w:r>
            <w:rPr>
              <w:rStyle w:val="16"/>
              <w:rFonts w:hint="eastAsia" w:ascii="微软雅黑" w:hAnsi="微软雅黑" w:eastAsia="微软雅黑"/>
              <w:sz w:val="18"/>
              <w:szCs w:val="18"/>
            </w:rPr>
            <w:t>投标人资格要求</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_Toc533173047 \h </w:instrText>
          </w:r>
          <w:r>
            <w:rPr>
              <w:rFonts w:ascii="微软雅黑" w:hAnsi="微软雅黑" w:eastAsia="微软雅黑"/>
              <w:sz w:val="18"/>
              <w:szCs w:val="18"/>
            </w:rPr>
            <w:fldChar w:fldCharType="separate"/>
          </w:r>
          <w:r>
            <w:rPr>
              <w:rFonts w:ascii="微软雅黑" w:hAnsi="微软雅黑" w:eastAsia="微软雅黑"/>
              <w:sz w:val="18"/>
              <w:szCs w:val="18"/>
            </w:rPr>
            <w:t>5</w:t>
          </w:r>
          <w:r>
            <w:rPr>
              <w:rFonts w:ascii="微软雅黑" w:hAnsi="微软雅黑" w:eastAsia="微软雅黑"/>
              <w:sz w:val="18"/>
              <w:szCs w:val="18"/>
            </w:rPr>
            <w:fldChar w:fldCharType="end"/>
          </w:r>
          <w:r>
            <w:rPr>
              <w:rFonts w:ascii="微软雅黑" w:hAnsi="微软雅黑" w:eastAsia="微软雅黑"/>
              <w:sz w:val="18"/>
              <w:szCs w:val="18"/>
            </w:rPr>
            <w:fldChar w:fldCharType="end"/>
          </w:r>
        </w:p>
        <w:p>
          <w:pPr>
            <w:pStyle w:val="12"/>
            <w:tabs>
              <w:tab w:val="right" w:leader="dot" w:pos="9742"/>
            </w:tabs>
            <w:spacing w:line="0" w:lineRule="atLeast"/>
            <w:rPr>
              <w:rFonts w:ascii="微软雅黑" w:hAnsi="微软雅黑" w:eastAsia="微软雅黑" w:cstheme="minorBidi"/>
              <w:sz w:val="18"/>
              <w:szCs w:val="18"/>
            </w:rPr>
          </w:pPr>
          <w:r>
            <w:fldChar w:fldCharType="begin"/>
          </w:r>
          <w:r>
            <w:instrText xml:space="preserve"> HYPERLINK \l "_Toc533173048" </w:instrText>
          </w:r>
          <w:r>
            <w:fldChar w:fldCharType="separate"/>
          </w:r>
          <w:r>
            <w:rPr>
              <w:rStyle w:val="16"/>
              <w:rFonts w:ascii="微软雅黑" w:hAnsi="微软雅黑" w:eastAsia="微软雅黑"/>
              <w:sz w:val="18"/>
              <w:szCs w:val="18"/>
            </w:rPr>
            <w:t>2.3</w:t>
          </w:r>
          <w:r>
            <w:rPr>
              <w:rStyle w:val="16"/>
              <w:rFonts w:hint="eastAsia" w:ascii="微软雅黑" w:hAnsi="微软雅黑" w:eastAsia="微软雅黑"/>
              <w:sz w:val="18"/>
              <w:szCs w:val="18"/>
            </w:rPr>
            <w:t>投标文件的组成</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_Toc533173048 \h </w:instrText>
          </w:r>
          <w:r>
            <w:rPr>
              <w:rFonts w:ascii="微软雅黑" w:hAnsi="微软雅黑" w:eastAsia="微软雅黑"/>
              <w:sz w:val="18"/>
              <w:szCs w:val="18"/>
            </w:rPr>
            <w:fldChar w:fldCharType="separate"/>
          </w:r>
          <w:r>
            <w:rPr>
              <w:rFonts w:ascii="微软雅黑" w:hAnsi="微软雅黑" w:eastAsia="微软雅黑"/>
              <w:sz w:val="18"/>
              <w:szCs w:val="18"/>
            </w:rPr>
            <w:t>6</w:t>
          </w:r>
          <w:r>
            <w:rPr>
              <w:rFonts w:ascii="微软雅黑" w:hAnsi="微软雅黑" w:eastAsia="微软雅黑"/>
              <w:sz w:val="18"/>
              <w:szCs w:val="18"/>
            </w:rPr>
            <w:fldChar w:fldCharType="end"/>
          </w:r>
          <w:r>
            <w:rPr>
              <w:rFonts w:ascii="微软雅黑" w:hAnsi="微软雅黑" w:eastAsia="微软雅黑"/>
              <w:sz w:val="18"/>
              <w:szCs w:val="18"/>
            </w:rPr>
            <w:fldChar w:fldCharType="end"/>
          </w:r>
        </w:p>
        <w:p>
          <w:pPr>
            <w:pStyle w:val="12"/>
            <w:tabs>
              <w:tab w:val="right" w:leader="dot" w:pos="9742"/>
            </w:tabs>
            <w:spacing w:line="0" w:lineRule="atLeast"/>
            <w:rPr>
              <w:rFonts w:ascii="微软雅黑" w:hAnsi="微软雅黑" w:eastAsia="微软雅黑" w:cstheme="minorBidi"/>
              <w:sz w:val="18"/>
              <w:szCs w:val="18"/>
            </w:rPr>
          </w:pPr>
          <w:r>
            <w:fldChar w:fldCharType="begin"/>
          </w:r>
          <w:r>
            <w:instrText xml:space="preserve"> HYPERLINK \l "_Toc533173049" </w:instrText>
          </w:r>
          <w:r>
            <w:fldChar w:fldCharType="separate"/>
          </w:r>
          <w:r>
            <w:rPr>
              <w:rStyle w:val="16"/>
              <w:rFonts w:ascii="微软雅黑" w:hAnsi="微软雅黑" w:eastAsia="微软雅黑"/>
              <w:sz w:val="18"/>
              <w:szCs w:val="18"/>
            </w:rPr>
            <w:t>2.4</w:t>
          </w:r>
          <w:r>
            <w:rPr>
              <w:rStyle w:val="16"/>
              <w:rFonts w:hint="eastAsia" w:ascii="微软雅黑" w:hAnsi="微软雅黑" w:eastAsia="微软雅黑"/>
              <w:sz w:val="18"/>
              <w:szCs w:val="18"/>
            </w:rPr>
            <w:t>投标文件的编制</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_Toc533173049 \h </w:instrText>
          </w:r>
          <w:r>
            <w:rPr>
              <w:rFonts w:ascii="微软雅黑" w:hAnsi="微软雅黑" w:eastAsia="微软雅黑"/>
              <w:sz w:val="18"/>
              <w:szCs w:val="18"/>
            </w:rPr>
            <w:fldChar w:fldCharType="separate"/>
          </w:r>
          <w:r>
            <w:rPr>
              <w:rFonts w:ascii="微软雅黑" w:hAnsi="微软雅黑" w:eastAsia="微软雅黑"/>
              <w:sz w:val="18"/>
              <w:szCs w:val="18"/>
            </w:rPr>
            <w:t>6</w:t>
          </w:r>
          <w:r>
            <w:rPr>
              <w:rFonts w:ascii="微软雅黑" w:hAnsi="微软雅黑" w:eastAsia="微软雅黑"/>
              <w:sz w:val="18"/>
              <w:szCs w:val="18"/>
            </w:rPr>
            <w:fldChar w:fldCharType="end"/>
          </w:r>
          <w:r>
            <w:rPr>
              <w:rFonts w:ascii="微软雅黑" w:hAnsi="微软雅黑" w:eastAsia="微软雅黑"/>
              <w:sz w:val="18"/>
              <w:szCs w:val="18"/>
            </w:rPr>
            <w:fldChar w:fldCharType="end"/>
          </w:r>
        </w:p>
        <w:p>
          <w:pPr>
            <w:pStyle w:val="12"/>
            <w:tabs>
              <w:tab w:val="right" w:leader="dot" w:pos="9742"/>
            </w:tabs>
            <w:spacing w:line="0" w:lineRule="atLeast"/>
            <w:rPr>
              <w:rFonts w:ascii="微软雅黑" w:hAnsi="微软雅黑" w:eastAsia="微软雅黑" w:cstheme="minorBidi"/>
              <w:sz w:val="18"/>
              <w:szCs w:val="18"/>
            </w:rPr>
          </w:pPr>
          <w:r>
            <w:fldChar w:fldCharType="begin"/>
          </w:r>
          <w:r>
            <w:instrText xml:space="preserve"> HYPERLINK \l "_Toc533173050" </w:instrText>
          </w:r>
          <w:r>
            <w:fldChar w:fldCharType="separate"/>
          </w:r>
          <w:r>
            <w:rPr>
              <w:rStyle w:val="16"/>
              <w:rFonts w:ascii="微软雅黑" w:hAnsi="微软雅黑" w:eastAsia="微软雅黑"/>
              <w:sz w:val="18"/>
              <w:szCs w:val="18"/>
            </w:rPr>
            <w:t>2.5</w:t>
          </w:r>
          <w:r>
            <w:rPr>
              <w:rStyle w:val="16"/>
              <w:rFonts w:hint="eastAsia" w:ascii="微软雅黑" w:hAnsi="微软雅黑" w:eastAsia="微软雅黑"/>
              <w:sz w:val="18"/>
              <w:szCs w:val="18"/>
            </w:rPr>
            <w:t>投标文件的内容</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_Toc533173050 \h </w:instrText>
          </w:r>
          <w:r>
            <w:rPr>
              <w:rFonts w:ascii="微软雅黑" w:hAnsi="微软雅黑" w:eastAsia="微软雅黑"/>
              <w:sz w:val="18"/>
              <w:szCs w:val="18"/>
            </w:rPr>
            <w:fldChar w:fldCharType="separate"/>
          </w:r>
          <w:r>
            <w:rPr>
              <w:rFonts w:ascii="微软雅黑" w:hAnsi="微软雅黑" w:eastAsia="微软雅黑"/>
              <w:sz w:val="18"/>
              <w:szCs w:val="18"/>
            </w:rPr>
            <w:t>7</w:t>
          </w:r>
          <w:r>
            <w:rPr>
              <w:rFonts w:ascii="微软雅黑" w:hAnsi="微软雅黑" w:eastAsia="微软雅黑"/>
              <w:sz w:val="18"/>
              <w:szCs w:val="18"/>
            </w:rPr>
            <w:fldChar w:fldCharType="end"/>
          </w:r>
          <w:r>
            <w:rPr>
              <w:rFonts w:ascii="微软雅黑" w:hAnsi="微软雅黑" w:eastAsia="微软雅黑"/>
              <w:sz w:val="18"/>
              <w:szCs w:val="18"/>
            </w:rPr>
            <w:fldChar w:fldCharType="end"/>
          </w:r>
        </w:p>
        <w:p>
          <w:pPr>
            <w:pStyle w:val="12"/>
            <w:tabs>
              <w:tab w:val="right" w:leader="dot" w:pos="9742"/>
            </w:tabs>
            <w:spacing w:line="0" w:lineRule="atLeast"/>
            <w:rPr>
              <w:rFonts w:ascii="微软雅黑" w:hAnsi="微软雅黑" w:eastAsia="微软雅黑" w:cstheme="minorBidi"/>
              <w:sz w:val="18"/>
              <w:szCs w:val="18"/>
            </w:rPr>
          </w:pPr>
          <w:r>
            <w:fldChar w:fldCharType="begin"/>
          </w:r>
          <w:r>
            <w:instrText xml:space="preserve"> HYPERLINK \l "_Toc533173051" </w:instrText>
          </w:r>
          <w:r>
            <w:fldChar w:fldCharType="separate"/>
          </w:r>
          <w:r>
            <w:rPr>
              <w:rStyle w:val="16"/>
              <w:rFonts w:ascii="微软雅黑" w:hAnsi="微软雅黑" w:eastAsia="微软雅黑"/>
              <w:sz w:val="18"/>
              <w:szCs w:val="18"/>
            </w:rPr>
            <w:t>2.6</w:t>
          </w:r>
          <w:r>
            <w:rPr>
              <w:rStyle w:val="16"/>
              <w:rFonts w:hint="eastAsia" w:ascii="微软雅黑" w:hAnsi="微软雅黑" w:eastAsia="微软雅黑"/>
              <w:sz w:val="18"/>
              <w:szCs w:val="18"/>
            </w:rPr>
            <w:t>投标文件的递交</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_Toc533173051 \h </w:instrText>
          </w:r>
          <w:r>
            <w:rPr>
              <w:rFonts w:ascii="微软雅黑" w:hAnsi="微软雅黑" w:eastAsia="微软雅黑"/>
              <w:sz w:val="18"/>
              <w:szCs w:val="18"/>
            </w:rPr>
            <w:fldChar w:fldCharType="separate"/>
          </w:r>
          <w:r>
            <w:rPr>
              <w:rFonts w:ascii="微软雅黑" w:hAnsi="微软雅黑" w:eastAsia="微软雅黑"/>
              <w:sz w:val="18"/>
              <w:szCs w:val="18"/>
            </w:rPr>
            <w:t>7</w:t>
          </w:r>
          <w:r>
            <w:rPr>
              <w:rFonts w:ascii="微软雅黑" w:hAnsi="微软雅黑" w:eastAsia="微软雅黑"/>
              <w:sz w:val="18"/>
              <w:szCs w:val="18"/>
            </w:rPr>
            <w:fldChar w:fldCharType="end"/>
          </w:r>
          <w:r>
            <w:rPr>
              <w:rFonts w:ascii="微软雅黑" w:hAnsi="微软雅黑" w:eastAsia="微软雅黑"/>
              <w:sz w:val="18"/>
              <w:szCs w:val="18"/>
            </w:rPr>
            <w:fldChar w:fldCharType="end"/>
          </w:r>
        </w:p>
        <w:p>
          <w:pPr>
            <w:pStyle w:val="12"/>
            <w:tabs>
              <w:tab w:val="right" w:leader="dot" w:pos="9742"/>
            </w:tabs>
            <w:spacing w:line="0" w:lineRule="atLeast"/>
            <w:rPr>
              <w:rFonts w:ascii="微软雅黑" w:hAnsi="微软雅黑" w:eastAsia="微软雅黑" w:cstheme="minorBidi"/>
              <w:sz w:val="18"/>
              <w:szCs w:val="18"/>
            </w:rPr>
          </w:pPr>
          <w:r>
            <w:fldChar w:fldCharType="begin"/>
          </w:r>
          <w:r>
            <w:instrText xml:space="preserve"> HYPERLINK \l "_Toc533173052" </w:instrText>
          </w:r>
          <w:r>
            <w:fldChar w:fldCharType="separate"/>
          </w:r>
          <w:r>
            <w:rPr>
              <w:rStyle w:val="16"/>
              <w:rFonts w:ascii="微软雅黑" w:hAnsi="微软雅黑" w:eastAsia="微软雅黑"/>
              <w:sz w:val="18"/>
              <w:szCs w:val="18"/>
            </w:rPr>
            <w:t>2.7</w:t>
          </w:r>
          <w:r>
            <w:rPr>
              <w:rStyle w:val="16"/>
              <w:rFonts w:hint="eastAsia" w:ascii="微软雅黑" w:hAnsi="微软雅黑" w:eastAsia="微软雅黑"/>
              <w:sz w:val="18"/>
              <w:szCs w:val="18"/>
            </w:rPr>
            <w:t>开标与评标</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_Toc533173052 \h </w:instrText>
          </w:r>
          <w:r>
            <w:rPr>
              <w:rFonts w:ascii="微软雅黑" w:hAnsi="微软雅黑" w:eastAsia="微软雅黑"/>
              <w:sz w:val="18"/>
              <w:szCs w:val="18"/>
            </w:rPr>
            <w:fldChar w:fldCharType="separate"/>
          </w:r>
          <w:r>
            <w:rPr>
              <w:rFonts w:ascii="微软雅黑" w:hAnsi="微软雅黑" w:eastAsia="微软雅黑"/>
              <w:sz w:val="18"/>
              <w:szCs w:val="18"/>
            </w:rPr>
            <w:t>8</w:t>
          </w:r>
          <w:r>
            <w:rPr>
              <w:rFonts w:ascii="微软雅黑" w:hAnsi="微软雅黑" w:eastAsia="微软雅黑"/>
              <w:sz w:val="18"/>
              <w:szCs w:val="18"/>
            </w:rPr>
            <w:fldChar w:fldCharType="end"/>
          </w:r>
          <w:r>
            <w:rPr>
              <w:rFonts w:ascii="微软雅黑" w:hAnsi="微软雅黑" w:eastAsia="微软雅黑"/>
              <w:sz w:val="18"/>
              <w:szCs w:val="18"/>
            </w:rPr>
            <w:fldChar w:fldCharType="end"/>
          </w:r>
        </w:p>
        <w:p>
          <w:pPr>
            <w:pStyle w:val="12"/>
            <w:tabs>
              <w:tab w:val="right" w:leader="dot" w:pos="9742"/>
            </w:tabs>
            <w:spacing w:line="0" w:lineRule="atLeast"/>
            <w:rPr>
              <w:rFonts w:ascii="微软雅黑" w:hAnsi="微软雅黑" w:eastAsia="微软雅黑" w:cstheme="minorBidi"/>
              <w:sz w:val="18"/>
              <w:szCs w:val="18"/>
            </w:rPr>
          </w:pPr>
          <w:r>
            <w:fldChar w:fldCharType="begin"/>
          </w:r>
          <w:r>
            <w:instrText xml:space="preserve"> HYPERLINK \l "_Toc533173053" </w:instrText>
          </w:r>
          <w:r>
            <w:fldChar w:fldCharType="separate"/>
          </w:r>
          <w:r>
            <w:rPr>
              <w:rStyle w:val="16"/>
              <w:rFonts w:ascii="微软雅黑" w:hAnsi="微软雅黑" w:eastAsia="微软雅黑"/>
              <w:sz w:val="18"/>
              <w:szCs w:val="18"/>
            </w:rPr>
            <w:t>2.8</w:t>
          </w:r>
          <w:r>
            <w:rPr>
              <w:rStyle w:val="16"/>
              <w:rFonts w:hint="eastAsia" w:ascii="微软雅黑" w:hAnsi="微软雅黑" w:eastAsia="微软雅黑"/>
              <w:sz w:val="18"/>
              <w:szCs w:val="18"/>
            </w:rPr>
            <w:t>授标及签约</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_Toc533173053 \h </w:instrText>
          </w:r>
          <w:r>
            <w:rPr>
              <w:rFonts w:ascii="微软雅黑" w:hAnsi="微软雅黑" w:eastAsia="微软雅黑"/>
              <w:sz w:val="18"/>
              <w:szCs w:val="18"/>
            </w:rPr>
            <w:fldChar w:fldCharType="separate"/>
          </w:r>
          <w:r>
            <w:rPr>
              <w:rFonts w:ascii="微软雅黑" w:hAnsi="微软雅黑" w:eastAsia="微软雅黑"/>
              <w:sz w:val="18"/>
              <w:szCs w:val="18"/>
            </w:rPr>
            <w:t>9</w:t>
          </w:r>
          <w:r>
            <w:rPr>
              <w:rFonts w:ascii="微软雅黑" w:hAnsi="微软雅黑" w:eastAsia="微软雅黑"/>
              <w:sz w:val="18"/>
              <w:szCs w:val="18"/>
            </w:rPr>
            <w:fldChar w:fldCharType="end"/>
          </w:r>
          <w:r>
            <w:rPr>
              <w:rFonts w:ascii="微软雅黑" w:hAnsi="微软雅黑" w:eastAsia="微软雅黑"/>
              <w:sz w:val="18"/>
              <w:szCs w:val="18"/>
            </w:rPr>
            <w:fldChar w:fldCharType="end"/>
          </w:r>
        </w:p>
        <w:p>
          <w:pPr>
            <w:pStyle w:val="12"/>
            <w:tabs>
              <w:tab w:val="right" w:leader="dot" w:pos="9742"/>
            </w:tabs>
            <w:spacing w:line="0" w:lineRule="atLeast"/>
            <w:rPr>
              <w:rFonts w:ascii="微软雅黑" w:hAnsi="微软雅黑" w:eastAsia="微软雅黑" w:cstheme="minorBidi"/>
              <w:sz w:val="18"/>
              <w:szCs w:val="18"/>
            </w:rPr>
          </w:pPr>
          <w:r>
            <w:fldChar w:fldCharType="begin"/>
          </w:r>
          <w:r>
            <w:instrText xml:space="preserve"> HYPERLINK \l "_Toc533173054" </w:instrText>
          </w:r>
          <w:r>
            <w:fldChar w:fldCharType="separate"/>
          </w:r>
          <w:r>
            <w:rPr>
              <w:rStyle w:val="16"/>
              <w:rFonts w:ascii="微软雅黑" w:hAnsi="微软雅黑" w:eastAsia="微软雅黑"/>
              <w:sz w:val="18"/>
              <w:szCs w:val="18"/>
            </w:rPr>
            <w:t>2.9</w:t>
          </w:r>
          <w:r>
            <w:rPr>
              <w:rStyle w:val="16"/>
              <w:rFonts w:hint="eastAsia" w:ascii="微软雅黑" w:hAnsi="微软雅黑" w:eastAsia="微软雅黑"/>
              <w:sz w:val="18"/>
              <w:szCs w:val="18"/>
            </w:rPr>
            <w:t>投标保证金</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_Toc533173054 \h </w:instrText>
          </w:r>
          <w:r>
            <w:rPr>
              <w:rFonts w:ascii="微软雅黑" w:hAnsi="微软雅黑" w:eastAsia="微软雅黑"/>
              <w:sz w:val="18"/>
              <w:szCs w:val="18"/>
            </w:rPr>
            <w:fldChar w:fldCharType="separate"/>
          </w:r>
          <w:r>
            <w:rPr>
              <w:rFonts w:ascii="微软雅黑" w:hAnsi="微软雅黑" w:eastAsia="微软雅黑"/>
              <w:sz w:val="18"/>
              <w:szCs w:val="18"/>
            </w:rPr>
            <w:t>9</w:t>
          </w:r>
          <w:r>
            <w:rPr>
              <w:rFonts w:ascii="微软雅黑" w:hAnsi="微软雅黑" w:eastAsia="微软雅黑"/>
              <w:sz w:val="18"/>
              <w:szCs w:val="18"/>
            </w:rPr>
            <w:fldChar w:fldCharType="end"/>
          </w:r>
          <w:r>
            <w:rPr>
              <w:rFonts w:ascii="微软雅黑" w:hAnsi="微软雅黑" w:eastAsia="微软雅黑"/>
              <w:sz w:val="18"/>
              <w:szCs w:val="18"/>
            </w:rPr>
            <w:fldChar w:fldCharType="end"/>
          </w:r>
        </w:p>
        <w:p>
          <w:pPr>
            <w:pStyle w:val="11"/>
            <w:tabs>
              <w:tab w:val="right" w:leader="dot" w:pos="9742"/>
            </w:tabs>
            <w:spacing w:line="0" w:lineRule="atLeast"/>
            <w:rPr>
              <w:rFonts w:ascii="微软雅黑" w:hAnsi="微软雅黑" w:eastAsia="微软雅黑" w:cstheme="minorBidi"/>
              <w:sz w:val="18"/>
              <w:szCs w:val="18"/>
            </w:rPr>
          </w:pPr>
          <w:r>
            <w:fldChar w:fldCharType="begin"/>
          </w:r>
          <w:r>
            <w:instrText xml:space="preserve"> HYPERLINK \l "_Toc533173055" </w:instrText>
          </w:r>
          <w:r>
            <w:fldChar w:fldCharType="separate"/>
          </w:r>
          <w:r>
            <w:rPr>
              <w:rStyle w:val="16"/>
              <w:rFonts w:ascii="微软雅黑" w:hAnsi="微软雅黑" w:eastAsia="微软雅黑"/>
              <w:sz w:val="18"/>
              <w:szCs w:val="18"/>
            </w:rPr>
            <w:t>3.</w:t>
          </w:r>
          <w:r>
            <w:rPr>
              <w:rStyle w:val="16"/>
              <w:rFonts w:hint="eastAsia" w:ascii="微软雅黑" w:hAnsi="微软雅黑" w:eastAsia="微软雅黑"/>
              <w:sz w:val="18"/>
              <w:szCs w:val="18"/>
            </w:rPr>
            <w:t>招标要求</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_Toc533173055 \h </w:instrText>
          </w:r>
          <w:r>
            <w:rPr>
              <w:rFonts w:ascii="微软雅黑" w:hAnsi="微软雅黑" w:eastAsia="微软雅黑"/>
              <w:sz w:val="18"/>
              <w:szCs w:val="18"/>
            </w:rPr>
            <w:fldChar w:fldCharType="separate"/>
          </w:r>
          <w:r>
            <w:rPr>
              <w:rFonts w:ascii="微软雅黑" w:hAnsi="微软雅黑" w:eastAsia="微软雅黑"/>
              <w:sz w:val="18"/>
              <w:szCs w:val="18"/>
            </w:rPr>
            <w:t>10</w:t>
          </w:r>
          <w:r>
            <w:rPr>
              <w:rFonts w:ascii="微软雅黑" w:hAnsi="微软雅黑" w:eastAsia="微软雅黑"/>
              <w:sz w:val="18"/>
              <w:szCs w:val="18"/>
            </w:rPr>
            <w:fldChar w:fldCharType="end"/>
          </w:r>
          <w:r>
            <w:rPr>
              <w:rFonts w:ascii="微软雅黑" w:hAnsi="微软雅黑" w:eastAsia="微软雅黑"/>
              <w:sz w:val="18"/>
              <w:szCs w:val="18"/>
            </w:rPr>
            <w:fldChar w:fldCharType="end"/>
          </w:r>
        </w:p>
        <w:p>
          <w:pPr>
            <w:pStyle w:val="12"/>
            <w:tabs>
              <w:tab w:val="right" w:leader="dot" w:pos="9742"/>
            </w:tabs>
            <w:spacing w:line="0" w:lineRule="atLeast"/>
            <w:rPr>
              <w:rFonts w:ascii="微软雅黑" w:hAnsi="微软雅黑" w:eastAsia="微软雅黑" w:cstheme="minorBidi"/>
              <w:sz w:val="18"/>
              <w:szCs w:val="18"/>
            </w:rPr>
          </w:pPr>
          <w:r>
            <w:fldChar w:fldCharType="begin"/>
          </w:r>
          <w:r>
            <w:instrText xml:space="preserve"> HYPERLINK \l "_Toc533173056" </w:instrText>
          </w:r>
          <w:r>
            <w:fldChar w:fldCharType="separate"/>
          </w:r>
          <w:r>
            <w:rPr>
              <w:rStyle w:val="16"/>
              <w:rFonts w:ascii="微软雅黑" w:hAnsi="微软雅黑" w:eastAsia="微软雅黑"/>
              <w:sz w:val="18"/>
              <w:szCs w:val="18"/>
            </w:rPr>
            <w:t>3.1</w:t>
          </w:r>
          <w:r>
            <w:rPr>
              <w:rStyle w:val="16"/>
              <w:rFonts w:hint="eastAsia" w:ascii="微软雅黑" w:hAnsi="微软雅黑" w:eastAsia="微软雅黑"/>
              <w:sz w:val="18"/>
              <w:szCs w:val="18"/>
            </w:rPr>
            <w:t>北国汇新城信息机房项目简介</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_Toc533173056 \h </w:instrText>
          </w:r>
          <w:r>
            <w:rPr>
              <w:rFonts w:ascii="微软雅黑" w:hAnsi="微软雅黑" w:eastAsia="微软雅黑"/>
              <w:sz w:val="18"/>
              <w:szCs w:val="18"/>
            </w:rPr>
            <w:fldChar w:fldCharType="separate"/>
          </w:r>
          <w:r>
            <w:rPr>
              <w:rFonts w:ascii="微软雅黑" w:hAnsi="微软雅黑" w:eastAsia="微软雅黑"/>
              <w:sz w:val="18"/>
              <w:szCs w:val="18"/>
            </w:rPr>
            <w:t>10</w:t>
          </w:r>
          <w:r>
            <w:rPr>
              <w:rFonts w:ascii="微软雅黑" w:hAnsi="微软雅黑" w:eastAsia="微软雅黑"/>
              <w:sz w:val="18"/>
              <w:szCs w:val="18"/>
            </w:rPr>
            <w:fldChar w:fldCharType="end"/>
          </w:r>
          <w:r>
            <w:rPr>
              <w:rFonts w:ascii="微软雅黑" w:hAnsi="微软雅黑" w:eastAsia="微软雅黑"/>
              <w:sz w:val="18"/>
              <w:szCs w:val="18"/>
            </w:rPr>
            <w:fldChar w:fldCharType="end"/>
          </w:r>
        </w:p>
        <w:p>
          <w:pPr>
            <w:pStyle w:val="11"/>
            <w:tabs>
              <w:tab w:val="right" w:leader="dot" w:pos="9742"/>
            </w:tabs>
            <w:spacing w:line="0" w:lineRule="atLeast"/>
            <w:rPr>
              <w:rFonts w:ascii="微软雅黑" w:hAnsi="微软雅黑" w:eastAsia="微软雅黑" w:cstheme="minorBidi"/>
              <w:sz w:val="18"/>
              <w:szCs w:val="18"/>
            </w:rPr>
          </w:pPr>
          <w:r>
            <w:fldChar w:fldCharType="begin"/>
          </w:r>
          <w:r>
            <w:instrText xml:space="preserve"> HYPERLINK \l "_Toc533173057" </w:instrText>
          </w:r>
          <w:r>
            <w:fldChar w:fldCharType="separate"/>
          </w:r>
          <w:r>
            <w:rPr>
              <w:rStyle w:val="16"/>
              <w:rFonts w:ascii="微软雅黑" w:hAnsi="微软雅黑" w:eastAsia="微软雅黑"/>
              <w:sz w:val="18"/>
              <w:szCs w:val="18"/>
            </w:rPr>
            <w:t>3.2</w:t>
          </w:r>
          <w:r>
            <w:rPr>
              <w:rStyle w:val="16"/>
              <w:rFonts w:hint="eastAsia" w:ascii="微软雅黑" w:hAnsi="微软雅黑" w:eastAsia="微软雅黑"/>
              <w:sz w:val="18"/>
              <w:szCs w:val="18"/>
            </w:rPr>
            <w:t>建设要求</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_Toc533173057 \h </w:instrText>
          </w:r>
          <w:r>
            <w:rPr>
              <w:rFonts w:ascii="微软雅黑" w:hAnsi="微软雅黑" w:eastAsia="微软雅黑"/>
              <w:sz w:val="18"/>
              <w:szCs w:val="18"/>
            </w:rPr>
            <w:fldChar w:fldCharType="separate"/>
          </w:r>
          <w:r>
            <w:rPr>
              <w:rFonts w:ascii="微软雅黑" w:hAnsi="微软雅黑" w:eastAsia="微软雅黑"/>
              <w:sz w:val="18"/>
              <w:szCs w:val="18"/>
            </w:rPr>
            <w:t>10</w:t>
          </w:r>
          <w:r>
            <w:rPr>
              <w:rFonts w:ascii="微软雅黑" w:hAnsi="微软雅黑" w:eastAsia="微软雅黑"/>
              <w:sz w:val="18"/>
              <w:szCs w:val="18"/>
            </w:rPr>
            <w:fldChar w:fldCharType="end"/>
          </w:r>
          <w:r>
            <w:rPr>
              <w:rFonts w:ascii="微软雅黑" w:hAnsi="微软雅黑" w:eastAsia="微软雅黑"/>
              <w:sz w:val="18"/>
              <w:szCs w:val="18"/>
            </w:rPr>
            <w:fldChar w:fldCharType="end"/>
          </w:r>
        </w:p>
        <w:p>
          <w:pPr>
            <w:pStyle w:val="12"/>
            <w:tabs>
              <w:tab w:val="right" w:leader="dot" w:pos="9742"/>
            </w:tabs>
            <w:spacing w:line="0" w:lineRule="atLeast"/>
            <w:rPr>
              <w:rFonts w:ascii="微软雅黑" w:hAnsi="微软雅黑" w:eastAsia="微软雅黑" w:cstheme="minorBidi"/>
              <w:sz w:val="18"/>
              <w:szCs w:val="18"/>
            </w:rPr>
          </w:pPr>
          <w:r>
            <w:fldChar w:fldCharType="begin"/>
          </w:r>
          <w:r>
            <w:instrText xml:space="preserve"> HYPERLINK \l "_Toc533173058" </w:instrText>
          </w:r>
          <w:r>
            <w:fldChar w:fldCharType="separate"/>
          </w:r>
          <w:r>
            <w:rPr>
              <w:rStyle w:val="16"/>
              <w:rFonts w:ascii="微软雅黑" w:hAnsi="微软雅黑" w:eastAsia="微软雅黑"/>
              <w:sz w:val="18"/>
              <w:szCs w:val="18"/>
            </w:rPr>
            <w:t>3.2.1</w:t>
          </w:r>
          <w:r>
            <w:rPr>
              <w:rStyle w:val="16"/>
              <w:rFonts w:hint="eastAsia" w:ascii="微软雅黑" w:hAnsi="微软雅黑" w:eastAsia="微软雅黑"/>
              <w:sz w:val="18"/>
              <w:szCs w:val="18"/>
            </w:rPr>
            <w:t>数据中心机房建设目标</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_Toc533173058 \h </w:instrText>
          </w:r>
          <w:r>
            <w:rPr>
              <w:rFonts w:ascii="微软雅黑" w:hAnsi="微软雅黑" w:eastAsia="微软雅黑"/>
              <w:sz w:val="18"/>
              <w:szCs w:val="18"/>
            </w:rPr>
            <w:fldChar w:fldCharType="separate"/>
          </w:r>
          <w:r>
            <w:rPr>
              <w:rFonts w:ascii="微软雅黑" w:hAnsi="微软雅黑" w:eastAsia="微软雅黑"/>
              <w:sz w:val="18"/>
              <w:szCs w:val="18"/>
            </w:rPr>
            <w:t>11</w:t>
          </w:r>
          <w:r>
            <w:rPr>
              <w:rFonts w:ascii="微软雅黑" w:hAnsi="微软雅黑" w:eastAsia="微软雅黑"/>
              <w:sz w:val="18"/>
              <w:szCs w:val="18"/>
            </w:rPr>
            <w:fldChar w:fldCharType="end"/>
          </w:r>
          <w:r>
            <w:rPr>
              <w:rFonts w:ascii="微软雅黑" w:hAnsi="微软雅黑" w:eastAsia="微软雅黑"/>
              <w:sz w:val="18"/>
              <w:szCs w:val="18"/>
            </w:rPr>
            <w:fldChar w:fldCharType="end"/>
          </w:r>
        </w:p>
        <w:p>
          <w:pPr>
            <w:pStyle w:val="12"/>
            <w:tabs>
              <w:tab w:val="right" w:leader="dot" w:pos="9742"/>
            </w:tabs>
            <w:spacing w:line="0" w:lineRule="atLeast"/>
            <w:rPr>
              <w:rFonts w:ascii="微软雅黑" w:hAnsi="微软雅黑" w:eastAsia="微软雅黑" w:cstheme="minorBidi"/>
              <w:sz w:val="18"/>
              <w:szCs w:val="18"/>
            </w:rPr>
          </w:pPr>
          <w:r>
            <w:fldChar w:fldCharType="begin"/>
          </w:r>
          <w:r>
            <w:instrText xml:space="preserve"> HYPERLINK \l "_Toc533173059" </w:instrText>
          </w:r>
          <w:r>
            <w:fldChar w:fldCharType="separate"/>
          </w:r>
          <w:r>
            <w:rPr>
              <w:rStyle w:val="16"/>
              <w:rFonts w:ascii="微软雅黑" w:hAnsi="微软雅黑" w:eastAsia="微软雅黑"/>
              <w:sz w:val="18"/>
              <w:szCs w:val="18"/>
            </w:rPr>
            <w:t>3.2.2</w:t>
          </w:r>
          <w:r>
            <w:rPr>
              <w:rStyle w:val="16"/>
              <w:rFonts w:hint="eastAsia" w:ascii="微软雅黑" w:hAnsi="微软雅黑" w:eastAsia="微软雅黑"/>
              <w:sz w:val="18"/>
              <w:szCs w:val="18"/>
            </w:rPr>
            <w:t>地面装修说明</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_Toc533173059 \h </w:instrText>
          </w:r>
          <w:r>
            <w:rPr>
              <w:rFonts w:ascii="微软雅黑" w:hAnsi="微软雅黑" w:eastAsia="微软雅黑"/>
              <w:sz w:val="18"/>
              <w:szCs w:val="18"/>
            </w:rPr>
            <w:fldChar w:fldCharType="separate"/>
          </w:r>
          <w:r>
            <w:rPr>
              <w:rFonts w:ascii="微软雅黑" w:hAnsi="微软雅黑" w:eastAsia="微软雅黑"/>
              <w:sz w:val="18"/>
              <w:szCs w:val="18"/>
            </w:rPr>
            <w:t>12</w:t>
          </w:r>
          <w:r>
            <w:rPr>
              <w:rFonts w:ascii="微软雅黑" w:hAnsi="微软雅黑" w:eastAsia="微软雅黑"/>
              <w:sz w:val="18"/>
              <w:szCs w:val="18"/>
            </w:rPr>
            <w:fldChar w:fldCharType="end"/>
          </w:r>
          <w:r>
            <w:rPr>
              <w:rFonts w:ascii="微软雅黑" w:hAnsi="微软雅黑" w:eastAsia="微软雅黑"/>
              <w:sz w:val="18"/>
              <w:szCs w:val="18"/>
            </w:rPr>
            <w:fldChar w:fldCharType="end"/>
          </w:r>
        </w:p>
        <w:p>
          <w:pPr>
            <w:pStyle w:val="12"/>
            <w:tabs>
              <w:tab w:val="right" w:leader="dot" w:pos="9742"/>
            </w:tabs>
            <w:spacing w:line="0" w:lineRule="atLeast"/>
            <w:rPr>
              <w:rFonts w:ascii="微软雅黑" w:hAnsi="微软雅黑" w:eastAsia="微软雅黑" w:cstheme="minorBidi"/>
              <w:sz w:val="18"/>
              <w:szCs w:val="18"/>
            </w:rPr>
          </w:pPr>
          <w:r>
            <w:fldChar w:fldCharType="begin"/>
          </w:r>
          <w:r>
            <w:instrText xml:space="preserve"> HYPERLINK \l "_Toc533173060" </w:instrText>
          </w:r>
          <w:r>
            <w:fldChar w:fldCharType="separate"/>
          </w:r>
          <w:r>
            <w:rPr>
              <w:rStyle w:val="16"/>
              <w:rFonts w:ascii="微软雅黑" w:hAnsi="微软雅黑" w:eastAsia="微软雅黑"/>
              <w:sz w:val="18"/>
              <w:szCs w:val="18"/>
            </w:rPr>
            <w:t xml:space="preserve">3.2.3 </w:t>
          </w:r>
          <w:r>
            <w:rPr>
              <w:rStyle w:val="16"/>
              <w:rFonts w:hint="eastAsia" w:ascii="微软雅黑" w:hAnsi="微软雅黑" w:eastAsia="微软雅黑"/>
              <w:sz w:val="18"/>
              <w:szCs w:val="18"/>
            </w:rPr>
            <w:t>吊顶装修说明</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_Toc533173060 \h </w:instrText>
          </w:r>
          <w:r>
            <w:rPr>
              <w:rFonts w:ascii="微软雅黑" w:hAnsi="微软雅黑" w:eastAsia="微软雅黑"/>
              <w:sz w:val="18"/>
              <w:szCs w:val="18"/>
            </w:rPr>
            <w:fldChar w:fldCharType="separate"/>
          </w:r>
          <w:r>
            <w:rPr>
              <w:rFonts w:ascii="微软雅黑" w:hAnsi="微软雅黑" w:eastAsia="微软雅黑"/>
              <w:sz w:val="18"/>
              <w:szCs w:val="18"/>
            </w:rPr>
            <w:t>12</w:t>
          </w:r>
          <w:r>
            <w:rPr>
              <w:rFonts w:ascii="微软雅黑" w:hAnsi="微软雅黑" w:eastAsia="微软雅黑"/>
              <w:sz w:val="18"/>
              <w:szCs w:val="18"/>
            </w:rPr>
            <w:fldChar w:fldCharType="end"/>
          </w:r>
          <w:r>
            <w:rPr>
              <w:rFonts w:ascii="微软雅黑" w:hAnsi="微软雅黑" w:eastAsia="微软雅黑"/>
              <w:sz w:val="18"/>
              <w:szCs w:val="18"/>
            </w:rPr>
            <w:fldChar w:fldCharType="end"/>
          </w:r>
        </w:p>
        <w:p>
          <w:pPr>
            <w:pStyle w:val="12"/>
            <w:tabs>
              <w:tab w:val="right" w:leader="dot" w:pos="9742"/>
            </w:tabs>
            <w:spacing w:line="0" w:lineRule="atLeast"/>
            <w:rPr>
              <w:rFonts w:ascii="微软雅黑" w:hAnsi="微软雅黑" w:eastAsia="微软雅黑" w:cstheme="minorBidi"/>
              <w:sz w:val="18"/>
              <w:szCs w:val="18"/>
            </w:rPr>
          </w:pPr>
          <w:r>
            <w:fldChar w:fldCharType="begin"/>
          </w:r>
          <w:r>
            <w:instrText xml:space="preserve"> HYPERLINK \l "_Toc533173061" </w:instrText>
          </w:r>
          <w:r>
            <w:fldChar w:fldCharType="separate"/>
          </w:r>
          <w:r>
            <w:rPr>
              <w:rStyle w:val="16"/>
              <w:rFonts w:ascii="微软雅黑" w:hAnsi="微软雅黑" w:eastAsia="微软雅黑"/>
              <w:sz w:val="18"/>
              <w:szCs w:val="18"/>
            </w:rPr>
            <w:t>3.2.4</w:t>
          </w:r>
          <w:r>
            <w:rPr>
              <w:rStyle w:val="16"/>
              <w:rFonts w:hint="eastAsia" w:ascii="微软雅黑" w:hAnsi="微软雅黑" w:eastAsia="微软雅黑"/>
              <w:sz w:val="18"/>
              <w:szCs w:val="18"/>
            </w:rPr>
            <w:t>墙体装修说明</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_Toc533173061 \h </w:instrText>
          </w:r>
          <w:r>
            <w:rPr>
              <w:rFonts w:ascii="微软雅黑" w:hAnsi="微软雅黑" w:eastAsia="微软雅黑"/>
              <w:sz w:val="18"/>
              <w:szCs w:val="18"/>
            </w:rPr>
            <w:fldChar w:fldCharType="separate"/>
          </w:r>
          <w:r>
            <w:rPr>
              <w:rFonts w:ascii="微软雅黑" w:hAnsi="微软雅黑" w:eastAsia="微软雅黑"/>
              <w:sz w:val="18"/>
              <w:szCs w:val="18"/>
            </w:rPr>
            <w:t>12</w:t>
          </w:r>
          <w:r>
            <w:rPr>
              <w:rFonts w:ascii="微软雅黑" w:hAnsi="微软雅黑" w:eastAsia="微软雅黑"/>
              <w:sz w:val="18"/>
              <w:szCs w:val="18"/>
            </w:rPr>
            <w:fldChar w:fldCharType="end"/>
          </w:r>
          <w:r>
            <w:rPr>
              <w:rFonts w:ascii="微软雅黑" w:hAnsi="微软雅黑" w:eastAsia="微软雅黑"/>
              <w:sz w:val="18"/>
              <w:szCs w:val="18"/>
            </w:rPr>
            <w:fldChar w:fldCharType="end"/>
          </w:r>
        </w:p>
        <w:p>
          <w:pPr>
            <w:pStyle w:val="12"/>
            <w:tabs>
              <w:tab w:val="right" w:leader="dot" w:pos="9742"/>
            </w:tabs>
            <w:spacing w:line="0" w:lineRule="atLeast"/>
            <w:rPr>
              <w:rFonts w:ascii="微软雅黑" w:hAnsi="微软雅黑" w:eastAsia="微软雅黑" w:cstheme="minorBidi"/>
              <w:sz w:val="18"/>
              <w:szCs w:val="18"/>
            </w:rPr>
          </w:pPr>
          <w:r>
            <w:fldChar w:fldCharType="begin"/>
          </w:r>
          <w:r>
            <w:instrText xml:space="preserve"> HYPERLINK \l "_Toc533173062" </w:instrText>
          </w:r>
          <w:r>
            <w:fldChar w:fldCharType="separate"/>
          </w:r>
          <w:r>
            <w:rPr>
              <w:rStyle w:val="16"/>
              <w:rFonts w:ascii="微软雅黑" w:hAnsi="微软雅黑" w:eastAsia="微软雅黑"/>
              <w:sz w:val="18"/>
              <w:szCs w:val="18"/>
            </w:rPr>
            <w:t>3.2.5</w:t>
          </w:r>
          <w:r>
            <w:rPr>
              <w:rStyle w:val="16"/>
              <w:rFonts w:hint="eastAsia" w:ascii="微软雅黑" w:hAnsi="微软雅黑" w:eastAsia="微软雅黑"/>
              <w:sz w:val="18"/>
              <w:szCs w:val="18"/>
            </w:rPr>
            <w:t>门窗装修说明</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_Toc533173062 \h </w:instrText>
          </w:r>
          <w:r>
            <w:rPr>
              <w:rFonts w:ascii="微软雅黑" w:hAnsi="微软雅黑" w:eastAsia="微软雅黑"/>
              <w:sz w:val="18"/>
              <w:szCs w:val="18"/>
            </w:rPr>
            <w:fldChar w:fldCharType="separate"/>
          </w:r>
          <w:r>
            <w:rPr>
              <w:rFonts w:ascii="微软雅黑" w:hAnsi="微软雅黑" w:eastAsia="微软雅黑"/>
              <w:sz w:val="18"/>
              <w:szCs w:val="18"/>
            </w:rPr>
            <w:t>12</w:t>
          </w:r>
          <w:r>
            <w:rPr>
              <w:rFonts w:ascii="微软雅黑" w:hAnsi="微软雅黑" w:eastAsia="微软雅黑"/>
              <w:sz w:val="18"/>
              <w:szCs w:val="18"/>
            </w:rPr>
            <w:fldChar w:fldCharType="end"/>
          </w:r>
          <w:r>
            <w:rPr>
              <w:rFonts w:ascii="微软雅黑" w:hAnsi="微软雅黑" w:eastAsia="微软雅黑"/>
              <w:sz w:val="18"/>
              <w:szCs w:val="18"/>
            </w:rPr>
            <w:fldChar w:fldCharType="end"/>
          </w:r>
        </w:p>
        <w:p>
          <w:pPr>
            <w:pStyle w:val="12"/>
            <w:tabs>
              <w:tab w:val="right" w:leader="dot" w:pos="9742"/>
            </w:tabs>
            <w:spacing w:line="0" w:lineRule="atLeast"/>
            <w:rPr>
              <w:rFonts w:ascii="微软雅黑" w:hAnsi="微软雅黑" w:eastAsia="微软雅黑" w:cstheme="minorBidi"/>
              <w:sz w:val="18"/>
              <w:szCs w:val="18"/>
            </w:rPr>
          </w:pPr>
          <w:r>
            <w:fldChar w:fldCharType="begin"/>
          </w:r>
          <w:r>
            <w:instrText xml:space="preserve"> HYPERLINK \l "_Toc533173063" </w:instrText>
          </w:r>
          <w:r>
            <w:fldChar w:fldCharType="separate"/>
          </w:r>
          <w:r>
            <w:rPr>
              <w:rStyle w:val="16"/>
              <w:rFonts w:ascii="微软雅黑" w:hAnsi="微软雅黑" w:eastAsia="微软雅黑"/>
              <w:sz w:val="18"/>
              <w:szCs w:val="18"/>
            </w:rPr>
            <w:t>3.2.6</w:t>
          </w:r>
          <w:r>
            <w:rPr>
              <w:rStyle w:val="16"/>
              <w:rFonts w:hint="eastAsia" w:ascii="微软雅黑" w:hAnsi="微软雅黑" w:eastAsia="微软雅黑"/>
              <w:sz w:val="18"/>
              <w:szCs w:val="18"/>
            </w:rPr>
            <w:t>空调改造方案</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_Toc533173063 \h </w:instrText>
          </w:r>
          <w:r>
            <w:rPr>
              <w:rFonts w:ascii="微软雅黑" w:hAnsi="微软雅黑" w:eastAsia="微软雅黑"/>
              <w:sz w:val="18"/>
              <w:szCs w:val="18"/>
            </w:rPr>
            <w:fldChar w:fldCharType="separate"/>
          </w:r>
          <w:r>
            <w:rPr>
              <w:rFonts w:ascii="微软雅黑" w:hAnsi="微软雅黑" w:eastAsia="微软雅黑"/>
              <w:sz w:val="18"/>
              <w:szCs w:val="18"/>
            </w:rPr>
            <w:t>12</w:t>
          </w:r>
          <w:r>
            <w:rPr>
              <w:rFonts w:ascii="微软雅黑" w:hAnsi="微软雅黑" w:eastAsia="微软雅黑"/>
              <w:sz w:val="18"/>
              <w:szCs w:val="18"/>
            </w:rPr>
            <w:fldChar w:fldCharType="end"/>
          </w:r>
          <w:r>
            <w:rPr>
              <w:rFonts w:ascii="微软雅黑" w:hAnsi="微软雅黑" w:eastAsia="微软雅黑"/>
              <w:sz w:val="18"/>
              <w:szCs w:val="18"/>
            </w:rPr>
            <w:fldChar w:fldCharType="end"/>
          </w:r>
        </w:p>
        <w:p>
          <w:pPr>
            <w:pStyle w:val="12"/>
            <w:tabs>
              <w:tab w:val="right" w:leader="dot" w:pos="9742"/>
            </w:tabs>
            <w:spacing w:line="0" w:lineRule="atLeast"/>
            <w:rPr>
              <w:rFonts w:ascii="微软雅黑" w:hAnsi="微软雅黑" w:eastAsia="微软雅黑" w:cstheme="minorBidi"/>
              <w:sz w:val="18"/>
              <w:szCs w:val="18"/>
            </w:rPr>
          </w:pPr>
          <w:r>
            <w:fldChar w:fldCharType="begin"/>
          </w:r>
          <w:r>
            <w:instrText xml:space="preserve"> HYPERLINK \l "_Toc533173064" </w:instrText>
          </w:r>
          <w:r>
            <w:fldChar w:fldCharType="separate"/>
          </w:r>
          <w:r>
            <w:rPr>
              <w:rStyle w:val="16"/>
              <w:rFonts w:ascii="微软雅黑" w:hAnsi="微软雅黑" w:eastAsia="微软雅黑"/>
              <w:sz w:val="18"/>
              <w:szCs w:val="18"/>
            </w:rPr>
            <w:t>3.2.7</w:t>
          </w:r>
          <w:r>
            <w:rPr>
              <w:rStyle w:val="16"/>
              <w:rFonts w:hint="eastAsia" w:ascii="微软雅黑" w:hAnsi="微软雅黑" w:eastAsia="微软雅黑"/>
              <w:sz w:val="18"/>
              <w:szCs w:val="18"/>
            </w:rPr>
            <w:t>电气设计说明</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_Toc533173064 \h </w:instrText>
          </w:r>
          <w:r>
            <w:rPr>
              <w:rFonts w:ascii="微软雅黑" w:hAnsi="微软雅黑" w:eastAsia="微软雅黑"/>
              <w:sz w:val="18"/>
              <w:szCs w:val="18"/>
            </w:rPr>
            <w:fldChar w:fldCharType="separate"/>
          </w:r>
          <w:r>
            <w:rPr>
              <w:rFonts w:ascii="微软雅黑" w:hAnsi="微软雅黑" w:eastAsia="微软雅黑"/>
              <w:sz w:val="18"/>
              <w:szCs w:val="18"/>
            </w:rPr>
            <w:t>13</w:t>
          </w:r>
          <w:r>
            <w:rPr>
              <w:rFonts w:ascii="微软雅黑" w:hAnsi="微软雅黑" w:eastAsia="微软雅黑"/>
              <w:sz w:val="18"/>
              <w:szCs w:val="18"/>
            </w:rPr>
            <w:fldChar w:fldCharType="end"/>
          </w:r>
          <w:r>
            <w:rPr>
              <w:rFonts w:ascii="微软雅黑" w:hAnsi="微软雅黑" w:eastAsia="微软雅黑"/>
              <w:sz w:val="18"/>
              <w:szCs w:val="18"/>
            </w:rPr>
            <w:fldChar w:fldCharType="end"/>
          </w:r>
        </w:p>
        <w:p>
          <w:pPr>
            <w:pStyle w:val="11"/>
            <w:tabs>
              <w:tab w:val="right" w:leader="dot" w:pos="9742"/>
            </w:tabs>
            <w:spacing w:line="0" w:lineRule="atLeast"/>
            <w:rPr>
              <w:rFonts w:ascii="微软雅黑" w:hAnsi="微软雅黑" w:eastAsia="微软雅黑" w:cstheme="minorBidi"/>
              <w:sz w:val="18"/>
              <w:szCs w:val="18"/>
            </w:rPr>
          </w:pPr>
          <w:r>
            <w:fldChar w:fldCharType="begin"/>
          </w:r>
          <w:r>
            <w:instrText xml:space="preserve"> HYPERLINK \l "_Toc533173065" </w:instrText>
          </w:r>
          <w:r>
            <w:fldChar w:fldCharType="separate"/>
          </w:r>
          <w:r>
            <w:rPr>
              <w:rStyle w:val="16"/>
              <w:rFonts w:ascii="微软雅黑" w:hAnsi="微软雅黑" w:eastAsia="微软雅黑"/>
              <w:sz w:val="18"/>
              <w:szCs w:val="18"/>
            </w:rPr>
            <w:t xml:space="preserve">4. </w:t>
          </w:r>
          <w:r>
            <w:rPr>
              <w:rStyle w:val="16"/>
              <w:rFonts w:hint="eastAsia" w:ascii="微软雅黑" w:hAnsi="微软雅黑" w:eastAsia="微软雅黑"/>
              <w:sz w:val="18"/>
              <w:szCs w:val="18"/>
            </w:rPr>
            <w:t>机房安全系统设计</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_Toc533173065 \h </w:instrText>
          </w:r>
          <w:r>
            <w:rPr>
              <w:rFonts w:ascii="微软雅黑" w:hAnsi="微软雅黑" w:eastAsia="微软雅黑"/>
              <w:sz w:val="18"/>
              <w:szCs w:val="18"/>
            </w:rPr>
            <w:fldChar w:fldCharType="separate"/>
          </w:r>
          <w:r>
            <w:rPr>
              <w:rFonts w:ascii="微软雅黑" w:hAnsi="微软雅黑" w:eastAsia="微软雅黑"/>
              <w:sz w:val="18"/>
              <w:szCs w:val="18"/>
            </w:rPr>
            <w:t>14</w:t>
          </w:r>
          <w:r>
            <w:rPr>
              <w:rFonts w:ascii="微软雅黑" w:hAnsi="微软雅黑" w:eastAsia="微软雅黑"/>
              <w:sz w:val="18"/>
              <w:szCs w:val="18"/>
            </w:rPr>
            <w:fldChar w:fldCharType="end"/>
          </w:r>
          <w:r>
            <w:rPr>
              <w:rFonts w:ascii="微软雅黑" w:hAnsi="微软雅黑" w:eastAsia="微软雅黑"/>
              <w:sz w:val="18"/>
              <w:szCs w:val="18"/>
            </w:rPr>
            <w:fldChar w:fldCharType="end"/>
          </w:r>
        </w:p>
        <w:p>
          <w:pPr>
            <w:pStyle w:val="12"/>
            <w:tabs>
              <w:tab w:val="right" w:leader="dot" w:pos="9742"/>
            </w:tabs>
            <w:spacing w:line="0" w:lineRule="atLeast"/>
            <w:rPr>
              <w:rFonts w:ascii="微软雅黑" w:hAnsi="微软雅黑" w:eastAsia="微软雅黑" w:cstheme="minorBidi"/>
              <w:sz w:val="18"/>
              <w:szCs w:val="18"/>
            </w:rPr>
          </w:pPr>
          <w:r>
            <w:fldChar w:fldCharType="begin"/>
          </w:r>
          <w:r>
            <w:instrText xml:space="preserve"> HYPERLINK \l "_Toc533173066" </w:instrText>
          </w:r>
          <w:r>
            <w:fldChar w:fldCharType="separate"/>
          </w:r>
          <w:r>
            <w:rPr>
              <w:rStyle w:val="16"/>
              <w:rFonts w:ascii="微软雅黑" w:hAnsi="微软雅黑" w:eastAsia="微软雅黑"/>
              <w:sz w:val="18"/>
              <w:szCs w:val="18"/>
            </w:rPr>
            <w:t>4.1</w:t>
          </w:r>
          <w:r>
            <w:rPr>
              <w:rStyle w:val="16"/>
              <w:rFonts w:hint="eastAsia" w:ascii="微软雅黑" w:hAnsi="微软雅黑" w:eastAsia="微软雅黑"/>
              <w:sz w:val="18"/>
              <w:szCs w:val="18"/>
            </w:rPr>
            <w:t>防雷接地设计说明</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_Toc533173066 \h </w:instrText>
          </w:r>
          <w:r>
            <w:rPr>
              <w:rFonts w:ascii="微软雅黑" w:hAnsi="微软雅黑" w:eastAsia="微软雅黑"/>
              <w:sz w:val="18"/>
              <w:szCs w:val="18"/>
            </w:rPr>
            <w:fldChar w:fldCharType="separate"/>
          </w:r>
          <w:r>
            <w:rPr>
              <w:rFonts w:ascii="微软雅黑" w:hAnsi="微软雅黑" w:eastAsia="微软雅黑"/>
              <w:sz w:val="18"/>
              <w:szCs w:val="18"/>
            </w:rPr>
            <w:t>14</w:t>
          </w:r>
          <w:r>
            <w:rPr>
              <w:rFonts w:ascii="微软雅黑" w:hAnsi="微软雅黑" w:eastAsia="微软雅黑"/>
              <w:sz w:val="18"/>
              <w:szCs w:val="18"/>
            </w:rPr>
            <w:fldChar w:fldCharType="end"/>
          </w:r>
          <w:r>
            <w:rPr>
              <w:rFonts w:ascii="微软雅黑" w:hAnsi="微软雅黑" w:eastAsia="微软雅黑"/>
              <w:sz w:val="18"/>
              <w:szCs w:val="18"/>
            </w:rPr>
            <w:fldChar w:fldCharType="end"/>
          </w:r>
        </w:p>
        <w:p>
          <w:pPr>
            <w:pStyle w:val="12"/>
            <w:tabs>
              <w:tab w:val="right" w:leader="dot" w:pos="9742"/>
            </w:tabs>
            <w:spacing w:line="0" w:lineRule="atLeast"/>
            <w:rPr>
              <w:rFonts w:ascii="微软雅黑" w:hAnsi="微软雅黑" w:eastAsia="微软雅黑" w:cstheme="minorBidi"/>
              <w:sz w:val="18"/>
              <w:szCs w:val="18"/>
            </w:rPr>
          </w:pPr>
          <w:r>
            <w:fldChar w:fldCharType="begin"/>
          </w:r>
          <w:r>
            <w:instrText xml:space="preserve"> HYPERLINK \l "_Toc533173067" </w:instrText>
          </w:r>
          <w:r>
            <w:fldChar w:fldCharType="separate"/>
          </w:r>
          <w:r>
            <w:rPr>
              <w:rStyle w:val="16"/>
              <w:rFonts w:ascii="微软雅黑" w:hAnsi="微软雅黑" w:eastAsia="微软雅黑"/>
              <w:sz w:val="18"/>
              <w:szCs w:val="18"/>
            </w:rPr>
            <w:t>4.2</w:t>
          </w:r>
          <w:r>
            <w:rPr>
              <w:rStyle w:val="16"/>
              <w:rFonts w:hint="eastAsia" w:ascii="微软雅黑" w:hAnsi="微软雅黑" w:eastAsia="微软雅黑"/>
              <w:sz w:val="18"/>
              <w:szCs w:val="18"/>
            </w:rPr>
            <w:t>接地要求</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_Toc533173067 \h </w:instrText>
          </w:r>
          <w:r>
            <w:rPr>
              <w:rFonts w:ascii="微软雅黑" w:hAnsi="微软雅黑" w:eastAsia="微软雅黑"/>
              <w:sz w:val="18"/>
              <w:szCs w:val="18"/>
            </w:rPr>
            <w:fldChar w:fldCharType="separate"/>
          </w:r>
          <w:r>
            <w:rPr>
              <w:rFonts w:ascii="微软雅黑" w:hAnsi="微软雅黑" w:eastAsia="微软雅黑"/>
              <w:sz w:val="18"/>
              <w:szCs w:val="18"/>
            </w:rPr>
            <w:t>14</w:t>
          </w:r>
          <w:r>
            <w:rPr>
              <w:rFonts w:ascii="微软雅黑" w:hAnsi="微软雅黑" w:eastAsia="微软雅黑"/>
              <w:sz w:val="18"/>
              <w:szCs w:val="18"/>
            </w:rPr>
            <w:fldChar w:fldCharType="end"/>
          </w:r>
          <w:r>
            <w:rPr>
              <w:rFonts w:ascii="微软雅黑" w:hAnsi="微软雅黑" w:eastAsia="微软雅黑"/>
              <w:sz w:val="18"/>
              <w:szCs w:val="18"/>
            </w:rPr>
            <w:fldChar w:fldCharType="end"/>
          </w:r>
        </w:p>
        <w:p>
          <w:pPr>
            <w:pStyle w:val="11"/>
            <w:tabs>
              <w:tab w:val="right" w:leader="dot" w:pos="9742"/>
            </w:tabs>
            <w:spacing w:line="0" w:lineRule="atLeast"/>
            <w:rPr>
              <w:rFonts w:ascii="微软雅黑" w:hAnsi="微软雅黑" w:eastAsia="微软雅黑" w:cstheme="minorBidi"/>
              <w:sz w:val="18"/>
              <w:szCs w:val="18"/>
            </w:rPr>
          </w:pPr>
          <w:r>
            <w:fldChar w:fldCharType="begin"/>
          </w:r>
          <w:r>
            <w:instrText xml:space="preserve"> HYPERLINK \l "_Toc533173070" </w:instrText>
          </w:r>
          <w:r>
            <w:fldChar w:fldCharType="separate"/>
          </w:r>
          <w:r>
            <w:rPr>
              <w:rStyle w:val="16"/>
              <w:rFonts w:ascii="微软雅黑" w:hAnsi="微软雅黑" w:eastAsia="微软雅黑"/>
              <w:sz w:val="18"/>
              <w:szCs w:val="18"/>
            </w:rPr>
            <w:t xml:space="preserve">5. </w:t>
          </w:r>
          <w:r>
            <w:rPr>
              <w:rStyle w:val="16"/>
              <w:rFonts w:hint="eastAsia" w:ascii="微软雅黑" w:hAnsi="微软雅黑" w:eastAsia="微软雅黑"/>
              <w:sz w:val="18"/>
              <w:szCs w:val="18"/>
            </w:rPr>
            <w:t>机房设备总控系统设计概述</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_Toc533173070 \h </w:instrText>
          </w:r>
          <w:r>
            <w:rPr>
              <w:rFonts w:ascii="微软雅黑" w:hAnsi="微软雅黑" w:eastAsia="微软雅黑"/>
              <w:sz w:val="18"/>
              <w:szCs w:val="18"/>
            </w:rPr>
            <w:fldChar w:fldCharType="separate"/>
          </w:r>
          <w:r>
            <w:rPr>
              <w:rFonts w:ascii="微软雅黑" w:hAnsi="微软雅黑" w:eastAsia="微软雅黑"/>
              <w:sz w:val="18"/>
              <w:szCs w:val="18"/>
            </w:rPr>
            <w:t>14</w:t>
          </w:r>
          <w:r>
            <w:rPr>
              <w:rFonts w:ascii="微软雅黑" w:hAnsi="微软雅黑" w:eastAsia="微软雅黑"/>
              <w:sz w:val="18"/>
              <w:szCs w:val="18"/>
            </w:rPr>
            <w:fldChar w:fldCharType="end"/>
          </w:r>
          <w:r>
            <w:rPr>
              <w:rFonts w:ascii="微软雅黑" w:hAnsi="微软雅黑" w:eastAsia="微软雅黑"/>
              <w:sz w:val="18"/>
              <w:szCs w:val="18"/>
            </w:rPr>
            <w:fldChar w:fldCharType="end"/>
          </w:r>
        </w:p>
        <w:p>
          <w:pPr>
            <w:pStyle w:val="12"/>
            <w:tabs>
              <w:tab w:val="right" w:leader="dot" w:pos="9742"/>
            </w:tabs>
            <w:spacing w:line="0" w:lineRule="atLeast"/>
            <w:rPr>
              <w:rFonts w:ascii="微软雅黑" w:hAnsi="微软雅黑" w:eastAsia="微软雅黑" w:cstheme="minorBidi"/>
              <w:sz w:val="18"/>
              <w:szCs w:val="18"/>
            </w:rPr>
          </w:pPr>
          <w:r>
            <w:fldChar w:fldCharType="begin"/>
          </w:r>
          <w:r>
            <w:instrText xml:space="preserve"> HYPERLINK \l "_Toc533173071" </w:instrText>
          </w:r>
          <w:r>
            <w:fldChar w:fldCharType="separate"/>
          </w:r>
          <w:r>
            <w:rPr>
              <w:rStyle w:val="16"/>
              <w:rFonts w:ascii="微软雅黑" w:hAnsi="微软雅黑" w:eastAsia="微软雅黑"/>
              <w:sz w:val="18"/>
              <w:szCs w:val="18"/>
            </w:rPr>
            <w:t>5.1</w:t>
          </w:r>
          <w:r>
            <w:rPr>
              <w:rStyle w:val="16"/>
              <w:rFonts w:hint="eastAsia" w:ascii="微软雅黑" w:hAnsi="微软雅黑" w:eastAsia="微软雅黑"/>
              <w:sz w:val="18"/>
              <w:szCs w:val="18"/>
            </w:rPr>
            <w:t>机房供配电系统：</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_Toc533173071 \h </w:instrText>
          </w:r>
          <w:r>
            <w:rPr>
              <w:rFonts w:ascii="微软雅黑" w:hAnsi="微软雅黑" w:eastAsia="微软雅黑"/>
              <w:sz w:val="18"/>
              <w:szCs w:val="18"/>
            </w:rPr>
            <w:fldChar w:fldCharType="separate"/>
          </w:r>
          <w:r>
            <w:rPr>
              <w:rFonts w:ascii="微软雅黑" w:hAnsi="微软雅黑" w:eastAsia="微软雅黑"/>
              <w:sz w:val="18"/>
              <w:szCs w:val="18"/>
            </w:rPr>
            <w:t>15</w:t>
          </w:r>
          <w:r>
            <w:rPr>
              <w:rFonts w:ascii="微软雅黑" w:hAnsi="微软雅黑" w:eastAsia="微软雅黑"/>
              <w:sz w:val="18"/>
              <w:szCs w:val="18"/>
            </w:rPr>
            <w:fldChar w:fldCharType="end"/>
          </w:r>
          <w:r>
            <w:rPr>
              <w:rFonts w:ascii="微软雅黑" w:hAnsi="微软雅黑" w:eastAsia="微软雅黑"/>
              <w:sz w:val="18"/>
              <w:szCs w:val="18"/>
            </w:rPr>
            <w:fldChar w:fldCharType="end"/>
          </w:r>
        </w:p>
        <w:p>
          <w:pPr>
            <w:pStyle w:val="12"/>
            <w:tabs>
              <w:tab w:val="right" w:leader="dot" w:pos="9742"/>
            </w:tabs>
            <w:spacing w:line="0" w:lineRule="atLeast"/>
            <w:rPr>
              <w:rFonts w:ascii="微软雅黑" w:hAnsi="微软雅黑" w:eastAsia="微软雅黑" w:cstheme="minorBidi"/>
              <w:sz w:val="18"/>
              <w:szCs w:val="18"/>
            </w:rPr>
          </w:pPr>
          <w:r>
            <w:fldChar w:fldCharType="begin"/>
          </w:r>
          <w:r>
            <w:instrText xml:space="preserve"> HYPERLINK \l "_Toc533173072" </w:instrText>
          </w:r>
          <w:r>
            <w:fldChar w:fldCharType="separate"/>
          </w:r>
          <w:r>
            <w:rPr>
              <w:rStyle w:val="16"/>
              <w:rFonts w:ascii="微软雅黑" w:hAnsi="微软雅黑" w:eastAsia="微软雅黑"/>
              <w:sz w:val="18"/>
              <w:szCs w:val="18"/>
            </w:rPr>
            <w:t>5.2</w:t>
          </w:r>
          <w:r>
            <w:rPr>
              <w:rStyle w:val="16"/>
              <w:rFonts w:hint="eastAsia" w:ascii="微软雅黑" w:hAnsi="微软雅黑" w:eastAsia="微软雅黑"/>
              <w:sz w:val="18"/>
              <w:szCs w:val="18"/>
            </w:rPr>
            <w:t>环境系统</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_Toc533173072 \h </w:instrText>
          </w:r>
          <w:r>
            <w:rPr>
              <w:rFonts w:ascii="微软雅黑" w:hAnsi="微软雅黑" w:eastAsia="微软雅黑"/>
              <w:sz w:val="18"/>
              <w:szCs w:val="18"/>
            </w:rPr>
            <w:fldChar w:fldCharType="separate"/>
          </w:r>
          <w:r>
            <w:rPr>
              <w:rFonts w:ascii="微软雅黑" w:hAnsi="微软雅黑" w:eastAsia="微软雅黑"/>
              <w:sz w:val="18"/>
              <w:szCs w:val="18"/>
            </w:rPr>
            <w:t>15</w:t>
          </w:r>
          <w:r>
            <w:rPr>
              <w:rFonts w:ascii="微软雅黑" w:hAnsi="微软雅黑" w:eastAsia="微软雅黑"/>
              <w:sz w:val="18"/>
              <w:szCs w:val="18"/>
            </w:rPr>
            <w:fldChar w:fldCharType="end"/>
          </w:r>
          <w:r>
            <w:rPr>
              <w:rFonts w:ascii="微软雅黑" w:hAnsi="微软雅黑" w:eastAsia="微软雅黑"/>
              <w:sz w:val="18"/>
              <w:szCs w:val="18"/>
            </w:rPr>
            <w:fldChar w:fldCharType="end"/>
          </w:r>
        </w:p>
        <w:p>
          <w:pPr>
            <w:pStyle w:val="11"/>
            <w:tabs>
              <w:tab w:val="right" w:leader="dot" w:pos="9742"/>
            </w:tabs>
            <w:spacing w:line="0" w:lineRule="atLeast"/>
            <w:rPr>
              <w:rFonts w:ascii="微软雅黑" w:hAnsi="微软雅黑" w:eastAsia="微软雅黑" w:cstheme="minorBidi"/>
              <w:sz w:val="18"/>
              <w:szCs w:val="18"/>
            </w:rPr>
          </w:pPr>
          <w:r>
            <w:fldChar w:fldCharType="begin"/>
          </w:r>
          <w:r>
            <w:instrText xml:space="preserve"> HYPERLINK \l "_Toc533173073" </w:instrText>
          </w:r>
          <w:r>
            <w:fldChar w:fldCharType="separate"/>
          </w:r>
          <w:r>
            <w:rPr>
              <w:rStyle w:val="16"/>
              <w:rFonts w:ascii="微软雅黑" w:hAnsi="微软雅黑" w:eastAsia="微软雅黑"/>
              <w:sz w:val="18"/>
              <w:szCs w:val="18"/>
            </w:rPr>
            <w:t>6</w:t>
          </w:r>
          <w:r>
            <w:rPr>
              <w:rStyle w:val="16"/>
              <w:rFonts w:hint="eastAsia" w:ascii="微软雅黑" w:hAnsi="微软雅黑" w:eastAsia="微软雅黑"/>
              <w:sz w:val="18"/>
              <w:szCs w:val="18"/>
            </w:rPr>
            <w:t>机房综合布线</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_Toc533173073 \h </w:instrText>
          </w:r>
          <w:r>
            <w:rPr>
              <w:rFonts w:ascii="微软雅黑" w:hAnsi="微软雅黑" w:eastAsia="微软雅黑"/>
              <w:sz w:val="18"/>
              <w:szCs w:val="18"/>
            </w:rPr>
            <w:fldChar w:fldCharType="separate"/>
          </w:r>
          <w:r>
            <w:rPr>
              <w:rFonts w:ascii="微软雅黑" w:hAnsi="微软雅黑" w:eastAsia="微软雅黑"/>
              <w:sz w:val="18"/>
              <w:szCs w:val="18"/>
            </w:rPr>
            <w:t>16</w:t>
          </w:r>
          <w:r>
            <w:rPr>
              <w:rFonts w:ascii="微软雅黑" w:hAnsi="微软雅黑" w:eastAsia="微软雅黑"/>
              <w:sz w:val="18"/>
              <w:szCs w:val="18"/>
            </w:rPr>
            <w:fldChar w:fldCharType="end"/>
          </w:r>
          <w:r>
            <w:rPr>
              <w:rFonts w:ascii="微软雅黑" w:hAnsi="微软雅黑" w:eastAsia="微软雅黑"/>
              <w:sz w:val="18"/>
              <w:szCs w:val="18"/>
            </w:rPr>
            <w:fldChar w:fldCharType="end"/>
          </w:r>
        </w:p>
        <w:p>
          <w:pPr>
            <w:pStyle w:val="11"/>
            <w:tabs>
              <w:tab w:val="right" w:leader="dot" w:pos="9742"/>
            </w:tabs>
            <w:spacing w:line="0" w:lineRule="atLeast"/>
            <w:rPr>
              <w:rFonts w:ascii="微软雅黑" w:hAnsi="微软雅黑" w:eastAsia="微软雅黑" w:cstheme="minorBidi"/>
              <w:sz w:val="18"/>
              <w:szCs w:val="18"/>
            </w:rPr>
          </w:pPr>
          <w:r>
            <w:fldChar w:fldCharType="begin"/>
          </w:r>
          <w:r>
            <w:instrText xml:space="preserve"> HYPERLINK \l "_Toc533173074" </w:instrText>
          </w:r>
          <w:r>
            <w:fldChar w:fldCharType="separate"/>
          </w:r>
          <w:r>
            <w:rPr>
              <w:rStyle w:val="16"/>
              <w:rFonts w:ascii="微软雅黑" w:hAnsi="微软雅黑" w:eastAsia="微软雅黑"/>
              <w:sz w:val="18"/>
              <w:szCs w:val="18"/>
            </w:rPr>
            <w:t>7</w:t>
          </w:r>
          <w:r>
            <w:rPr>
              <w:rStyle w:val="16"/>
              <w:rFonts w:hint="eastAsia" w:ascii="微软雅黑" w:hAnsi="微软雅黑" w:eastAsia="微软雅黑"/>
              <w:sz w:val="18"/>
              <w:szCs w:val="18"/>
            </w:rPr>
            <w:t>售后服务</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_Toc533173074 \h </w:instrText>
          </w:r>
          <w:r>
            <w:rPr>
              <w:rFonts w:ascii="微软雅黑" w:hAnsi="微软雅黑" w:eastAsia="微软雅黑"/>
              <w:sz w:val="18"/>
              <w:szCs w:val="18"/>
            </w:rPr>
            <w:fldChar w:fldCharType="separate"/>
          </w:r>
          <w:r>
            <w:rPr>
              <w:rFonts w:ascii="微软雅黑" w:hAnsi="微软雅黑" w:eastAsia="微软雅黑"/>
              <w:sz w:val="18"/>
              <w:szCs w:val="18"/>
            </w:rPr>
            <w:t>16</w:t>
          </w:r>
          <w:r>
            <w:rPr>
              <w:rFonts w:ascii="微软雅黑" w:hAnsi="微软雅黑" w:eastAsia="微软雅黑"/>
              <w:sz w:val="18"/>
              <w:szCs w:val="18"/>
            </w:rPr>
            <w:fldChar w:fldCharType="end"/>
          </w:r>
          <w:r>
            <w:rPr>
              <w:rFonts w:ascii="微软雅黑" w:hAnsi="微软雅黑" w:eastAsia="微软雅黑"/>
              <w:sz w:val="18"/>
              <w:szCs w:val="18"/>
            </w:rPr>
            <w:fldChar w:fldCharType="end"/>
          </w:r>
        </w:p>
        <w:p>
          <w:pPr>
            <w:pStyle w:val="11"/>
            <w:tabs>
              <w:tab w:val="right" w:leader="dot" w:pos="9742"/>
            </w:tabs>
            <w:spacing w:line="0" w:lineRule="atLeast"/>
            <w:rPr>
              <w:rFonts w:ascii="微软雅黑" w:hAnsi="微软雅黑" w:eastAsia="微软雅黑" w:cstheme="minorBidi"/>
              <w:sz w:val="18"/>
              <w:szCs w:val="18"/>
            </w:rPr>
          </w:pPr>
          <w:r>
            <w:fldChar w:fldCharType="begin"/>
          </w:r>
          <w:r>
            <w:instrText xml:space="preserve"> HYPERLINK \l "_Toc533173075" </w:instrText>
          </w:r>
          <w:r>
            <w:fldChar w:fldCharType="separate"/>
          </w:r>
          <w:r>
            <w:rPr>
              <w:rStyle w:val="16"/>
              <w:rFonts w:ascii="微软雅黑" w:hAnsi="微软雅黑" w:eastAsia="微软雅黑" w:cs="宋体"/>
              <w:sz w:val="18"/>
              <w:szCs w:val="18"/>
            </w:rPr>
            <w:t>8</w:t>
          </w:r>
          <w:r>
            <w:rPr>
              <w:rStyle w:val="16"/>
              <w:rFonts w:hint="eastAsia" w:ascii="微软雅黑" w:hAnsi="微软雅黑" w:eastAsia="微软雅黑"/>
              <w:kern w:val="0"/>
              <w:sz w:val="18"/>
              <w:szCs w:val="18"/>
            </w:rPr>
            <w:t>响应文件格式</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_Toc533173075 \h </w:instrText>
          </w:r>
          <w:r>
            <w:rPr>
              <w:rFonts w:ascii="微软雅黑" w:hAnsi="微软雅黑" w:eastAsia="微软雅黑"/>
              <w:sz w:val="18"/>
              <w:szCs w:val="18"/>
            </w:rPr>
            <w:fldChar w:fldCharType="separate"/>
          </w:r>
          <w:r>
            <w:rPr>
              <w:rFonts w:ascii="微软雅黑" w:hAnsi="微软雅黑" w:eastAsia="微软雅黑"/>
              <w:sz w:val="18"/>
              <w:szCs w:val="18"/>
            </w:rPr>
            <w:t>18</w:t>
          </w:r>
          <w:r>
            <w:rPr>
              <w:rFonts w:ascii="微软雅黑" w:hAnsi="微软雅黑" w:eastAsia="微软雅黑"/>
              <w:sz w:val="18"/>
              <w:szCs w:val="18"/>
            </w:rPr>
            <w:fldChar w:fldCharType="end"/>
          </w:r>
          <w:r>
            <w:rPr>
              <w:rFonts w:ascii="微软雅黑" w:hAnsi="微软雅黑" w:eastAsia="微软雅黑"/>
              <w:sz w:val="18"/>
              <w:szCs w:val="18"/>
            </w:rPr>
            <w:fldChar w:fldCharType="end"/>
          </w:r>
        </w:p>
        <w:p>
          <w:pPr>
            <w:pStyle w:val="12"/>
            <w:tabs>
              <w:tab w:val="right" w:leader="dot" w:pos="9742"/>
            </w:tabs>
            <w:spacing w:line="0" w:lineRule="atLeast"/>
            <w:rPr>
              <w:rFonts w:ascii="微软雅黑" w:hAnsi="微软雅黑" w:eastAsia="微软雅黑" w:cstheme="minorBidi"/>
              <w:sz w:val="18"/>
              <w:szCs w:val="18"/>
            </w:rPr>
          </w:pPr>
          <w:r>
            <w:fldChar w:fldCharType="begin"/>
          </w:r>
          <w:r>
            <w:instrText xml:space="preserve"> HYPERLINK \l "_Toc533173076" </w:instrText>
          </w:r>
          <w:r>
            <w:fldChar w:fldCharType="separate"/>
          </w:r>
          <w:r>
            <w:rPr>
              <w:rStyle w:val="16"/>
              <w:rFonts w:ascii="微软雅黑" w:hAnsi="微软雅黑" w:eastAsia="微软雅黑"/>
              <w:sz w:val="18"/>
              <w:szCs w:val="18"/>
            </w:rPr>
            <w:t>8.1</w:t>
          </w:r>
          <w:r>
            <w:rPr>
              <w:rStyle w:val="16"/>
              <w:rFonts w:hint="eastAsia" w:ascii="微软雅黑" w:hAnsi="微软雅黑" w:eastAsia="微软雅黑"/>
              <w:sz w:val="18"/>
              <w:szCs w:val="18"/>
            </w:rPr>
            <w:t>投标函（规范）</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_Toc533173076 \h </w:instrText>
          </w:r>
          <w:r>
            <w:rPr>
              <w:rFonts w:ascii="微软雅黑" w:hAnsi="微软雅黑" w:eastAsia="微软雅黑"/>
              <w:sz w:val="18"/>
              <w:szCs w:val="18"/>
            </w:rPr>
            <w:fldChar w:fldCharType="separate"/>
          </w:r>
          <w:r>
            <w:rPr>
              <w:rFonts w:ascii="微软雅黑" w:hAnsi="微软雅黑" w:eastAsia="微软雅黑"/>
              <w:sz w:val="18"/>
              <w:szCs w:val="18"/>
            </w:rPr>
            <w:t>18</w:t>
          </w:r>
          <w:r>
            <w:rPr>
              <w:rFonts w:ascii="微软雅黑" w:hAnsi="微软雅黑" w:eastAsia="微软雅黑"/>
              <w:sz w:val="18"/>
              <w:szCs w:val="18"/>
            </w:rPr>
            <w:fldChar w:fldCharType="end"/>
          </w:r>
          <w:r>
            <w:rPr>
              <w:rFonts w:ascii="微软雅黑" w:hAnsi="微软雅黑" w:eastAsia="微软雅黑"/>
              <w:sz w:val="18"/>
              <w:szCs w:val="18"/>
            </w:rPr>
            <w:fldChar w:fldCharType="end"/>
          </w:r>
        </w:p>
        <w:p>
          <w:pPr>
            <w:pStyle w:val="12"/>
            <w:tabs>
              <w:tab w:val="right" w:leader="dot" w:pos="9742"/>
            </w:tabs>
            <w:spacing w:line="0" w:lineRule="atLeast"/>
            <w:rPr>
              <w:rFonts w:ascii="微软雅黑" w:hAnsi="微软雅黑" w:eastAsia="微软雅黑" w:cstheme="minorBidi"/>
              <w:sz w:val="18"/>
              <w:szCs w:val="18"/>
            </w:rPr>
          </w:pPr>
          <w:r>
            <w:fldChar w:fldCharType="begin"/>
          </w:r>
          <w:r>
            <w:instrText xml:space="preserve"> HYPERLINK \l "_Toc533173077" </w:instrText>
          </w:r>
          <w:r>
            <w:fldChar w:fldCharType="separate"/>
          </w:r>
          <w:r>
            <w:rPr>
              <w:rStyle w:val="16"/>
              <w:rFonts w:ascii="微软雅黑" w:hAnsi="微软雅黑" w:eastAsia="微软雅黑"/>
              <w:sz w:val="18"/>
              <w:szCs w:val="18"/>
            </w:rPr>
            <w:t>8.2</w:t>
          </w:r>
          <w:r>
            <w:rPr>
              <w:rStyle w:val="16"/>
              <w:rFonts w:hint="eastAsia" w:ascii="微软雅黑" w:hAnsi="微软雅黑" w:eastAsia="微软雅黑"/>
              <w:sz w:val="18"/>
              <w:szCs w:val="18"/>
            </w:rPr>
            <w:t>承诺书（规范）</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_Toc533173077 \h </w:instrText>
          </w:r>
          <w:r>
            <w:rPr>
              <w:rFonts w:ascii="微软雅黑" w:hAnsi="微软雅黑" w:eastAsia="微软雅黑"/>
              <w:sz w:val="18"/>
              <w:szCs w:val="18"/>
            </w:rPr>
            <w:fldChar w:fldCharType="separate"/>
          </w:r>
          <w:r>
            <w:rPr>
              <w:rFonts w:ascii="微软雅黑" w:hAnsi="微软雅黑" w:eastAsia="微软雅黑"/>
              <w:sz w:val="18"/>
              <w:szCs w:val="18"/>
            </w:rPr>
            <w:t>19</w:t>
          </w:r>
          <w:r>
            <w:rPr>
              <w:rFonts w:ascii="微软雅黑" w:hAnsi="微软雅黑" w:eastAsia="微软雅黑"/>
              <w:sz w:val="18"/>
              <w:szCs w:val="18"/>
            </w:rPr>
            <w:fldChar w:fldCharType="end"/>
          </w:r>
          <w:r>
            <w:rPr>
              <w:rFonts w:ascii="微软雅黑" w:hAnsi="微软雅黑" w:eastAsia="微软雅黑"/>
              <w:sz w:val="18"/>
              <w:szCs w:val="18"/>
            </w:rPr>
            <w:fldChar w:fldCharType="end"/>
          </w:r>
        </w:p>
        <w:p>
          <w:pPr>
            <w:pStyle w:val="12"/>
            <w:tabs>
              <w:tab w:val="right" w:leader="dot" w:pos="9742"/>
            </w:tabs>
            <w:spacing w:line="0" w:lineRule="atLeast"/>
            <w:rPr>
              <w:rFonts w:ascii="微软雅黑" w:hAnsi="微软雅黑" w:eastAsia="微软雅黑" w:cstheme="minorBidi"/>
              <w:sz w:val="18"/>
              <w:szCs w:val="18"/>
            </w:rPr>
          </w:pPr>
          <w:r>
            <w:fldChar w:fldCharType="begin"/>
          </w:r>
          <w:r>
            <w:instrText xml:space="preserve"> HYPERLINK \l "_Toc533173078" </w:instrText>
          </w:r>
          <w:r>
            <w:fldChar w:fldCharType="separate"/>
          </w:r>
          <w:r>
            <w:rPr>
              <w:rStyle w:val="16"/>
              <w:rFonts w:ascii="微软雅黑" w:hAnsi="微软雅黑" w:eastAsia="微软雅黑"/>
              <w:sz w:val="18"/>
              <w:szCs w:val="18"/>
            </w:rPr>
            <w:t>8.3</w:t>
          </w:r>
          <w:r>
            <w:rPr>
              <w:rStyle w:val="16"/>
              <w:rFonts w:hint="eastAsia" w:ascii="微软雅黑" w:hAnsi="微软雅黑" w:eastAsia="微软雅黑"/>
              <w:sz w:val="18"/>
              <w:szCs w:val="18"/>
            </w:rPr>
            <w:t>投标人企业信息和联络方式一览表（规范）</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_Toc533173078 \h </w:instrText>
          </w:r>
          <w:r>
            <w:rPr>
              <w:rFonts w:ascii="微软雅黑" w:hAnsi="微软雅黑" w:eastAsia="微软雅黑"/>
              <w:sz w:val="18"/>
              <w:szCs w:val="18"/>
            </w:rPr>
            <w:fldChar w:fldCharType="separate"/>
          </w:r>
          <w:r>
            <w:rPr>
              <w:rFonts w:ascii="微软雅黑" w:hAnsi="微软雅黑" w:eastAsia="微软雅黑"/>
              <w:sz w:val="18"/>
              <w:szCs w:val="18"/>
            </w:rPr>
            <w:t>20</w:t>
          </w:r>
          <w:r>
            <w:rPr>
              <w:rFonts w:ascii="微软雅黑" w:hAnsi="微软雅黑" w:eastAsia="微软雅黑"/>
              <w:sz w:val="18"/>
              <w:szCs w:val="18"/>
            </w:rPr>
            <w:fldChar w:fldCharType="end"/>
          </w:r>
          <w:r>
            <w:rPr>
              <w:rFonts w:ascii="微软雅黑" w:hAnsi="微软雅黑" w:eastAsia="微软雅黑"/>
              <w:sz w:val="18"/>
              <w:szCs w:val="18"/>
            </w:rPr>
            <w:fldChar w:fldCharType="end"/>
          </w:r>
        </w:p>
        <w:p>
          <w:pPr>
            <w:pStyle w:val="12"/>
            <w:tabs>
              <w:tab w:val="right" w:leader="dot" w:pos="9742"/>
            </w:tabs>
            <w:spacing w:line="0" w:lineRule="atLeast"/>
            <w:rPr>
              <w:rFonts w:ascii="微软雅黑" w:hAnsi="微软雅黑" w:eastAsia="微软雅黑" w:cstheme="minorBidi"/>
              <w:sz w:val="18"/>
              <w:szCs w:val="18"/>
            </w:rPr>
          </w:pPr>
          <w:r>
            <w:fldChar w:fldCharType="begin"/>
          </w:r>
          <w:r>
            <w:instrText xml:space="preserve"> HYPERLINK \l "_Toc533173079" </w:instrText>
          </w:r>
          <w:r>
            <w:fldChar w:fldCharType="separate"/>
          </w:r>
          <w:r>
            <w:rPr>
              <w:rStyle w:val="16"/>
              <w:rFonts w:ascii="微软雅黑" w:hAnsi="微软雅黑" w:eastAsia="微软雅黑"/>
              <w:sz w:val="18"/>
              <w:szCs w:val="18"/>
            </w:rPr>
            <w:t>8.4</w:t>
          </w:r>
          <w:r>
            <w:rPr>
              <w:rStyle w:val="16"/>
              <w:rFonts w:hint="eastAsia" w:ascii="微软雅黑" w:hAnsi="微软雅黑" w:eastAsia="微软雅黑"/>
              <w:sz w:val="18"/>
              <w:szCs w:val="18"/>
            </w:rPr>
            <w:t>法定代表人身份证明书（规范）</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_Toc533173079 \h </w:instrText>
          </w:r>
          <w:r>
            <w:rPr>
              <w:rFonts w:ascii="微软雅黑" w:hAnsi="微软雅黑" w:eastAsia="微软雅黑"/>
              <w:sz w:val="18"/>
              <w:szCs w:val="18"/>
            </w:rPr>
            <w:fldChar w:fldCharType="separate"/>
          </w:r>
          <w:r>
            <w:rPr>
              <w:rFonts w:ascii="微软雅黑" w:hAnsi="微软雅黑" w:eastAsia="微软雅黑"/>
              <w:sz w:val="18"/>
              <w:szCs w:val="18"/>
            </w:rPr>
            <w:t>21</w:t>
          </w:r>
          <w:r>
            <w:rPr>
              <w:rFonts w:ascii="微软雅黑" w:hAnsi="微软雅黑" w:eastAsia="微软雅黑"/>
              <w:sz w:val="18"/>
              <w:szCs w:val="18"/>
            </w:rPr>
            <w:fldChar w:fldCharType="end"/>
          </w:r>
          <w:r>
            <w:rPr>
              <w:rFonts w:ascii="微软雅黑" w:hAnsi="微软雅黑" w:eastAsia="微软雅黑"/>
              <w:sz w:val="18"/>
              <w:szCs w:val="18"/>
            </w:rPr>
            <w:fldChar w:fldCharType="end"/>
          </w:r>
        </w:p>
        <w:p>
          <w:pPr>
            <w:pStyle w:val="12"/>
            <w:tabs>
              <w:tab w:val="right" w:leader="dot" w:pos="9742"/>
            </w:tabs>
            <w:spacing w:line="0" w:lineRule="atLeast"/>
            <w:rPr>
              <w:rFonts w:ascii="微软雅黑" w:hAnsi="微软雅黑" w:eastAsia="微软雅黑" w:cstheme="minorBidi"/>
              <w:sz w:val="18"/>
              <w:szCs w:val="18"/>
            </w:rPr>
          </w:pPr>
          <w:r>
            <w:fldChar w:fldCharType="begin"/>
          </w:r>
          <w:r>
            <w:instrText xml:space="preserve"> HYPERLINK \l "_Toc533173080" </w:instrText>
          </w:r>
          <w:r>
            <w:fldChar w:fldCharType="separate"/>
          </w:r>
          <w:r>
            <w:rPr>
              <w:rStyle w:val="16"/>
              <w:rFonts w:ascii="微软雅黑" w:hAnsi="微软雅黑" w:eastAsia="微软雅黑"/>
              <w:sz w:val="18"/>
              <w:szCs w:val="18"/>
            </w:rPr>
            <w:t>8.5</w:t>
          </w:r>
          <w:r>
            <w:rPr>
              <w:rStyle w:val="16"/>
              <w:rFonts w:hint="eastAsia" w:ascii="微软雅黑" w:hAnsi="微软雅黑" w:eastAsia="微软雅黑"/>
              <w:sz w:val="18"/>
              <w:szCs w:val="18"/>
            </w:rPr>
            <w:t>企业法人及法定代表人授权委托书（规范）</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_Toc533173080 \h </w:instrText>
          </w:r>
          <w:r>
            <w:rPr>
              <w:rFonts w:ascii="微软雅黑" w:hAnsi="微软雅黑" w:eastAsia="微软雅黑"/>
              <w:sz w:val="18"/>
              <w:szCs w:val="18"/>
            </w:rPr>
            <w:fldChar w:fldCharType="separate"/>
          </w:r>
          <w:r>
            <w:rPr>
              <w:rFonts w:ascii="微软雅黑" w:hAnsi="微软雅黑" w:eastAsia="微软雅黑"/>
              <w:sz w:val="18"/>
              <w:szCs w:val="18"/>
            </w:rPr>
            <w:t>22</w:t>
          </w:r>
          <w:r>
            <w:rPr>
              <w:rFonts w:ascii="微软雅黑" w:hAnsi="微软雅黑" w:eastAsia="微软雅黑"/>
              <w:sz w:val="18"/>
              <w:szCs w:val="18"/>
            </w:rPr>
            <w:fldChar w:fldCharType="end"/>
          </w:r>
          <w:r>
            <w:rPr>
              <w:rFonts w:ascii="微软雅黑" w:hAnsi="微软雅黑" w:eastAsia="微软雅黑"/>
              <w:sz w:val="18"/>
              <w:szCs w:val="18"/>
            </w:rPr>
            <w:fldChar w:fldCharType="end"/>
          </w:r>
        </w:p>
        <w:p>
          <w:pPr>
            <w:pStyle w:val="12"/>
            <w:tabs>
              <w:tab w:val="right" w:leader="dot" w:pos="9742"/>
            </w:tabs>
            <w:spacing w:line="0" w:lineRule="atLeast"/>
            <w:rPr>
              <w:rFonts w:ascii="微软雅黑" w:hAnsi="微软雅黑" w:eastAsia="微软雅黑" w:cstheme="minorBidi"/>
              <w:sz w:val="18"/>
              <w:szCs w:val="18"/>
            </w:rPr>
          </w:pPr>
          <w:r>
            <w:fldChar w:fldCharType="begin"/>
          </w:r>
          <w:r>
            <w:instrText xml:space="preserve"> HYPERLINK \l "_Toc533173081" </w:instrText>
          </w:r>
          <w:r>
            <w:fldChar w:fldCharType="separate"/>
          </w:r>
          <w:r>
            <w:rPr>
              <w:rStyle w:val="16"/>
              <w:rFonts w:ascii="微软雅黑" w:hAnsi="微软雅黑" w:eastAsia="微软雅黑"/>
              <w:sz w:val="18"/>
              <w:szCs w:val="18"/>
            </w:rPr>
            <w:t>8.6</w:t>
          </w:r>
          <w:r>
            <w:rPr>
              <w:rStyle w:val="16"/>
              <w:rFonts w:hint="eastAsia" w:ascii="微软雅黑" w:hAnsi="微软雅黑" w:eastAsia="微软雅黑"/>
              <w:sz w:val="18"/>
              <w:szCs w:val="18"/>
            </w:rPr>
            <w:t>廉政须知回执（规范）</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_Toc533173081 \h </w:instrText>
          </w:r>
          <w:r>
            <w:rPr>
              <w:rFonts w:ascii="微软雅黑" w:hAnsi="微软雅黑" w:eastAsia="微软雅黑"/>
              <w:sz w:val="18"/>
              <w:szCs w:val="18"/>
            </w:rPr>
            <w:fldChar w:fldCharType="separate"/>
          </w:r>
          <w:r>
            <w:rPr>
              <w:rFonts w:ascii="微软雅黑" w:hAnsi="微软雅黑" w:eastAsia="微软雅黑"/>
              <w:sz w:val="18"/>
              <w:szCs w:val="18"/>
            </w:rPr>
            <w:t>23</w:t>
          </w:r>
          <w:r>
            <w:rPr>
              <w:rFonts w:ascii="微软雅黑" w:hAnsi="微软雅黑" w:eastAsia="微软雅黑"/>
              <w:sz w:val="18"/>
              <w:szCs w:val="18"/>
            </w:rPr>
            <w:fldChar w:fldCharType="end"/>
          </w:r>
          <w:r>
            <w:rPr>
              <w:rFonts w:ascii="微软雅黑" w:hAnsi="微软雅黑" w:eastAsia="微软雅黑"/>
              <w:sz w:val="18"/>
              <w:szCs w:val="18"/>
            </w:rPr>
            <w:fldChar w:fldCharType="end"/>
          </w:r>
        </w:p>
        <w:p>
          <w:pPr>
            <w:pStyle w:val="12"/>
            <w:tabs>
              <w:tab w:val="right" w:leader="dot" w:pos="9742"/>
            </w:tabs>
            <w:spacing w:line="0" w:lineRule="atLeast"/>
            <w:rPr>
              <w:rFonts w:asciiTheme="minorHAnsi" w:hAnsiTheme="minorHAnsi" w:eastAsiaTheme="minorEastAsia" w:cstheme="minorBidi"/>
              <w:szCs w:val="22"/>
            </w:rPr>
          </w:pPr>
          <w:r>
            <w:fldChar w:fldCharType="begin"/>
          </w:r>
          <w:r>
            <w:instrText xml:space="preserve"> HYPERLINK \l "_Toc533173082" </w:instrText>
          </w:r>
          <w:r>
            <w:fldChar w:fldCharType="separate"/>
          </w:r>
          <w:r>
            <w:rPr>
              <w:rStyle w:val="16"/>
              <w:rFonts w:ascii="微软雅黑" w:hAnsi="微软雅黑" w:eastAsia="微软雅黑"/>
              <w:sz w:val="18"/>
              <w:szCs w:val="18"/>
            </w:rPr>
            <w:t>8.7</w:t>
          </w:r>
          <w:r>
            <w:rPr>
              <w:rStyle w:val="16"/>
              <w:rFonts w:hint="eastAsia" w:ascii="微软雅黑" w:hAnsi="微软雅黑" w:eastAsia="微软雅黑"/>
              <w:sz w:val="18"/>
              <w:szCs w:val="18"/>
            </w:rPr>
            <w:t>投标报价清单（规范）</w:t>
          </w:r>
          <w:r>
            <w:rPr>
              <w:rFonts w:ascii="微软雅黑" w:hAnsi="微软雅黑" w:eastAsia="微软雅黑"/>
              <w:sz w:val="18"/>
              <w:szCs w:val="18"/>
            </w:rPr>
            <w:tab/>
          </w:r>
          <w:r>
            <w:rPr>
              <w:rFonts w:ascii="微软雅黑" w:hAnsi="微软雅黑" w:eastAsia="微软雅黑"/>
              <w:sz w:val="18"/>
              <w:szCs w:val="18"/>
            </w:rPr>
            <w:fldChar w:fldCharType="begin"/>
          </w:r>
          <w:r>
            <w:rPr>
              <w:rFonts w:ascii="微软雅黑" w:hAnsi="微软雅黑" w:eastAsia="微软雅黑"/>
              <w:sz w:val="18"/>
              <w:szCs w:val="18"/>
            </w:rPr>
            <w:instrText xml:space="preserve"> PAGEREF _Toc533173082 \h </w:instrText>
          </w:r>
          <w:r>
            <w:rPr>
              <w:rFonts w:ascii="微软雅黑" w:hAnsi="微软雅黑" w:eastAsia="微软雅黑"/>
              <w:sz w:val="18"/>
              <w:szCs w:val="18"/>
            </w:rPr>
            <w:fldChar w:fldCharType="separate"/>
          </w:r>
          <w:r>
            <w:rPr>
              <w:rFonts w:ascii="微软雅黑" w:hAnsi="微软雅黑" w:eastAsia="微软雅黑"/>
              <w:sz w:val="18"/>
              <w:szCs w:val="18"/>
            </w:rPr>
            <w:t>24</w:t>
          </w:r>
          <w:r>
            <w:rPr>
              <w:rFonts w:ascii="微软雅黑" w:hAnsi="微软雅黑" w:eastAsia="微软雅黑"/>
              <w:sz w:val="18"/>
              <w:szCs w:val="18"/>
            </w:rPr>
            <w:fldChar w:fldCharType="end"/>
          </w:r>
          <w:r>
            <w:rPr>
              <w:rFonts w:ascii="微软雅黑" w:hAnsi="微软雅黑" w:eastAsia="微软雅黑"/>
              <w:sz w:val="18"/>
              <w:szCs w:val="18"/>
            </w:rPr>
            <w:fldChar w:fldCharType="end"/>
          </w:r>
        </w:p>
        <w:p>
          <w:r>
            <w:fldChar w:fldCharType="end"/>
          </w:r>
        </w:p>
      </w:sdtContent>
    </w:sdt>
    <w:p>
      <w:pPr>
        <w:tabs>
          <w:tab w:val="left" w:pos="1500"/>
        </w:tabs>
        <w:adjustRightInd w:val="0"/>
        <w:snapToGrid w:val="0"/>
        <w:spacing w:after="240" w:line="276" w:lineRule="auto"/>
        <w:jc w:val="center"/>
        <w:rPr>
          <w:rFonts w:ascii="微软雅黑" w:hAnsi="微软雅黑" w:eastAsia="微软雅黑"/>
          <w:b/>
          <w:iCs/>
          <w:color w:val="000000"/>
          <w:kern w:val="0"/>
          <w:sz w:val="30"/>
          <w:szCs w:val="30"/>
        </w:rPr>
      </w:pPr>
    </w:p>
    <w:p>
      <w:pPr>
        <w:tabs>
          <w:tab w:val="left" w:pos="1500"/>
        </w:tabs>
        <w:adjustRightInd w:val="0"/>
        <w:snapToGrid w:val="0"/>
        <w:spacing w:after="240" w:line="276" w:lineRule="auto"/>
        <w:rPr>
          <w:rFonts w:ascii="微软雅黑" w:hAnsi="微软雅黑" w:eastAsia="微软雅黑"/>
          <w:b/>
          <w:iCs/>
          <w:color w:val="000000"/>
          <w:kern w:val="0"/>
          <w:sz w:val="30"/>
          <w:szCs w:val="30"/>
        </w:rPr>
      </w:pPr>
    </w:p>
    <w:p>
      <w:pPr>
        <w:pStyle w:val="2"/>
        <w:numPr>
          <w:ilvl w:val="0"/>
          <w:numId w:val="1"/>
        </w:numPr>
        <w:rPr>
          <w:rFonts w:ascii="微软雅黑" w:hAnsi="微软雅黑" w:eastAsia="微软雅黑"/>
          <w:sz w:val="32"/>
          <w:szCs w:val="32"/>
        </w:rPr>
      </w:pPr>
      <w:bookmarkStart w:id="0" w:name="_Toc531965260"/>
      <w:bookmarkStart w:id="1" w:name="_Toc533173044"/>
      <w:bookmarkStart w:id="2" w:name="_Toc526784148"/>
      <w:r>
        <w:rPr>
          <w:rFonts w:hint="eastAsia" w:ascii="微软雅黑" w:hAnsi="微软雅黑" w:eastAsia="微软雅黑"/>
          <w:sz w:val="32"/>
          <w:szCs w:val="32"/>
        </w:rPr>
        <w:t>投标</w:t>
      </w:r>
      <w:r>
        <w:rPr>
          <w:rFonts w:ascii="微软雅黑" w:hAnsi="微软雅黑" w:eastAsia="微软雅黑"/>
          <w:sz w:val="32"/>
          <w:szCs w:val="32"/>
        </w:rPr>
        <w:t>邀请</w:t>
      </w:r>
      <w:bookmarkEnd w:id="0"/>
      <w:bookmarkEnd w:id="1"/>
    </w:p>
    <w:p>
      <w:pPr>
        <w:tabs>
          <w:tab w:val="left" w:pos="1500"/>
        </w:tabs>
        <w:adjustRightInd w:val="0"/>
        <w:snapToGrid w:val="0"/>
        <w:spacing w:after="240" w:line="276" w:lineRule="auto"/>
        <w:jc w:val="center"/>
        <w:rPr>
          <w:rFonts w:ascii="微软雅黑" w:hAnsi="微软雅黑" w:eastAsia="微软雅黑"/>
          <w:b/>
          <w:iCs/>
          <w:color w:val="000000"/>
          <w:kern w:val="0"/>
          <w:sz w:val="30"/>
          <w:szCs w:val="30"/>
        </w:rPr>
      </w:pPr>
      <w:r>
        <w:rPr>
          <w:rFonts w:hint="eastAsia" w:ascii="微软雅黑" w:hAnsi="微软雅黑" w:eastAsia="微软雅黑"/>
          <w:b/>
          <w:iCs/>
          <w:color w:val="000000"/>
          <w:kern w:val="0"/>
          <w:sz w:val="30"/>
          <w:szCs w:val="30"/>
        </w:rPr>
        <w:t>投标</w:t>
      </w:r>
      <w:r>
        <w:rPr>
          <w:rFonts w:ascii="微软雅黑" w:hAnsi="微软雅黑" w:eastAsia="微软雅黑"/>
          <w:b/>
          <w:iCs/>
          <w:color w:val="000000"/>
          <w:kern w:val="0"/>
          <w:sz w:val="30"/>
          <w:szCs w:val="30"/>
        </w:rPr>
        <w:t>邀请函</w:t>
      </w:r>
    </w:p>
    <w:p>
      <w:pPr>
        <w:ind w:firstLine="510"/>
        <w:rPr>
          <w:rFonts w:ascii="微软雅黑" w:hAnsi="微软雅黑" w:eastAsia="微软雅黑"/>
          <w:szCs w:val="21"/>
          <w:highlight w:val="green"/>
        </w:rPr>
      </w:pPr>
      <w:r>
        <w:rPr>
          <w:rFonts w:hint="eastAsia" w:ascii="微软雅黑" w:hAnsi="微软雅黑" w:eastAsia="微软雅黑"/>
          <w:szCs w:val="21"/>
        </w:rPr>
        <w:t>北人集团是以百货连锁、超市连锁、家电连锁、品牌珠宝连锁及餐饮、会展、租赁业态。北人集团已经发展成为跨区域多业态的大型连锁商业企业集团，是河北省商业龙头企业，连续七次入选“中国企业500强”。是河北省规模最大、销售最好、业态最全、信誉度最高、满意度最优、人气指数最旺、消费者口碑最佳的大型商业企业集团。</w:t>
      </w:r>
    </w:p>
    <w:p>
      <w:pPr>
        <w:ind w:firstLine="510"/>
        <w:rPr>
          <w:rFonts w:ascii="微软雅黑" w:hAnsi="微软雅黑" w:eastAsia="微软雅黑"/>
          <w:szCs w:val="21"/>
        </w:rPr>
      </w:pPr>
      <w:r>
        <w:rPr>
          <w:rFonts w:hint="eastAsia" w:ascii="微软雅黑" w:hAnsi="微软雅黑" w:eastAsia="微软雅黑"/>
          <w:szCs w:val="21"/>
        </w:rPr>
        <w:t>根据北国汇新城业务发展需要，对信息机房项目建设进行邀请招标，项目范围包括：</w:t>
      </w:r>
      <w:r>
        <w:rPr>
          <w:rFonts w:hint="eastAsia" w:ascii="微软雅黑" w:hAnsi="微软雅黑" w:eastAsia="微软雅黑"/>
          <w:b/>
          <w:bCs/>
          <w:color w:val="FF0000"/>
          <w:szCs w:val="21"/>
        </w:rPr>
        <w:t>北国汇新城信息机房建设</w:t>
      </w:r>
      <w:r>
        <w:rPr>
          <w:rFonts w:hint="eastAsia" w:ascii="微软雅黑" w:hAnsi="微软雅黑" w:eastAsia="微软雅黑"/>
          <w:szCs w:val="21"/>
        </w:rPr>
        <w:t xml:space="preserve">规划、实施方案等。欢迎能按标书要求提供产品和建设服务、信誉好并能保证优质售后服务的公司投标。 </w:t>
      </w:r>
    </w:p>
    <w:p>
      <w:pPr>
        <w:ind w:firstLine="420" w:firstLineChars="200"/>
        <w:rPr>
          <w:rFonts w:ascii="微软雅黑" w:hAnsi="微软雅黑" w:eastAsia="微软雅黑"/>
          <w:szCs w:val="21"/>
        </w:rPr>
      </w:pPr>
      <w:r>
        <w:rPr>
          <w:rFonts w:hint="eastAsia" w:ascii="微软雅黑" w:hAnsi="微软雅黑" w:eastAsia="微软雅黑"/>
          <w:szCs w:val="21"/>
        </w:rPr>
        <w:t>现正式邀请贵公司参加投标，请按要求办理投标保证金缴纳事宜，并按时前来领取招标文件。</w:t>
      </w:r>
    </w:p>
    <w:p>
      <w:pPr>
        <w:ind w:firstLine="420" w:firstLineChars="200"/>
        <w:rPr>
          <w:rFonts w:ascii="微软雅黑" w:hAnsi="微软雅黑" w:eastAsia="微软雅黑" w:cs="微软雅黑"/>
          <w:kern w:val="0"/>
          <w:szCs w:val="21"/>
          <w:u w:val="single"/>
        </w:rPr>
      </w:pPr>
      <w:r>
        <w:rPr>
          <w:rFonts w:hint="eastAsia" w:ascii="微软雅黑" w:hAnsi="微软雅黑" w:eastAsia="微软雅黑" w:cs="微软雅黑"/>
          <w:kern w:val="0"/>
          <w:szCs w:val="21"/>
        </w:rPr>
        <w:t>项目名称：</w:t>
      </w:r>
      <w:r>
        <w:rPr>
          <w:rFonts w:hint="eastAsia" w:ascii="微软雅黑" w:hAnsi="微软雅黑" w:eastAsia="微软雅黑"/>
          <w:szCs w:val="21"/>
          <w:u w:val="single"/>
        </w:rPr>
        <w:t>北国汇新城信息机房建设项目</w:t>
      </w:r>
    </w:p>
    <w:p>
      <w:pPr>
        <w:spacing w:line="500" w:lineRule="exact"/>
        <w:ind w:firstLine="420" w:firstLineChars="200"/>
        <w:rPr>
          <w:rFonts w:ascii="微软雅黑" w:hAnsi="微软雅黑" w:eastAsia="微软雅黑" w:cs="微软雅黑"/>
          <w:color w:val="FF0000"/>
          <w:kern w:val="0"/>
          <w:szCs w:val="21"/>
        </w:rPr>
      </w:pPr>
      <w:r>
        <w:rPr>
          <w:rFonts w:hint="eastAsia" w:ascii="微软雅黑" w:hAnsi="微软雅黑" w:eastAsia="微软雅黑" w:cs="微软雅黑"/>
          <w:kern w:val="0"/>
          <w:szCs w:val="21"/>
        </w:rPr>
        <w:t>招标文件发标方式：</w:t>
      </w:r>
      <w:r>
        <w:rPr>
          <w:rFonts w:hint="eastAsia" w:ascii="微软雅黑" w:hAnsi="微软雅黑" w:eastAsia="微软雅黑" w:cs="微软雅黑"/>
          <w:color w:val="FF0000"/>
          <w:kern w:val="0"/>
          <w:szCs w:val="21"/>
          <w:highlight w:val="yellow"/>
          <w:u w:val="single"/>
        </w:rPr>
        <w:t>北人集团官网</w:t>
      </w:r>
    </w:p>
    <w:p>
      <w:pPr>
        <w:tabs>
          <w:tab w:val="left" w:pos="425"/>
          <w:tab w:val="left" w:pos="570"/>
          <w:tab w:val="left" w:pos="782"/>
        </w:tabs>
        <w:spacing w:line="500" w:lineRule="exact"/>
        <w:ind w:left="425"/>
        <w:rPr>
          <w:rFonts w:ascii="微软雅黑" w:hAnsi="微软雅黑" w:eastAsia="微软雅黑"/>
          <w:color w:val="FF0000"/>
          <w:szCs w:val="21"/>
        </w:rPr>
      </w:pPr>
      <w:r>
        <w:rPr>
          <w:rFonts w:hint="eastAsia" w:ascii="微软雅黑" w:hAnsi="微软雅黑" w:eastAsia="微软雅黑"/>
          <w:szCs w:val="21"/>
        </w:rPr>
        <w:t>投标保证金缴纳时间：</w:t>
      </w:r>
      <w:r>
        <w:rPr>
          <w:rFonts w:hint="eastAsia" w:ascii="微软雅黑" w:hAnsi="微软雅黑" w:eastAsia="微软雅黑"/>
          <w:color w:val="FF0000"/>
          <w:szCs w:val="21"/>
          <w:highlight w:val="yellow"/>
          <w:u w:val="single"/>
        </w:rPr>
        <w:t>20</w:t>
      </w:r>
      <w:r>
        <w:rPr>
          <w:rFonts w:ascii="微软雅黑" w:hAnsi="微软雅黑" w:eastAsia="微软雅黑"/>
          <w:color w:val="FF0000"/>
          <w:szCs w:val="21"/>
          <w:highlight w:val="yellow"/>
          <w:u w:val="single"/>
        </w:rPr>
        <w:t>2</w:t>
      </w:r>
      <w:r>
        <w:rPr>
          <w:rFonts w:hint="eastAsia" w:ascii="微软雅黑" w:hAnsi="微软雅黑" w:eastAsia="微软雅黑"/>
          <w:color w:val="FF0000"/>
          <w:szCs w:val="21"/>
          <w:highlight w:val="yellow"/>
          <w:u w:val="single"/>
        </w:rPr>
        <w:t>3</w:t>
      </w:r>
      <w:r>
        <w:rPr>
          <w:rFonts w:hint="eastAsia" w:ascii="微软雅黑" w:hAnsi="微软雅黑" w:eastAsia="微软雅黑"/>
          <w:color w:val="FF0000"/>
          <w:szCs w:val="21"/>
          <w:highlight w:val="yellow"/>
        </w:rPr>
        <w:t>年</w:t>
      </w:r>
      <w:r>
        <w:rPr>
          <w:rFonts w:ascii="微软雅黑" w:hAnsi="微软雅黑" w:eastAsia="微软雅黑"/>
          <w:color w:val="FF0000"/>
          <w:szCs w:val="21"/>
          <w:highlight w:val="yellow"/>
        </w:rPr>
        <w:t xml:space="preserve"> </w:t>
      </w:r>
      <w:r>
        <w:rPr>
          <w:rFonts w:hint="eastAsia" w:ascii="微软雅黑" w:hAnsi="微软雅黑" w:eastAsia="微软雅黑"/>
          <w:color w:val="FF0000"/>
          <w:szCs w:val="21"/>
          <w:highlight w:val="yellow"/>
          <w:u w:val="single"/>
        </w:rPr>
        <w:t xml:space="preserve"> </w:t>
      </w:r>
      <w:r>
        <w:rPr>
          <w:rFonts w:ascii="微软雅黑" w:hAnsi="微软雅黑" w:eastAsia="微软雅黑"/>
          <w:color w:val="FF0000"/>
          <w:szCs w:val="21"/>
          <w:highlight w:val="yellow"/>
          <w:u w:val="single"/>
        </w:rPr>
        <w:t>7</w:t>
      </w:r>
      <w:r>
        <w:rPr>
          <w:rFonts w:ascii="微软雅黑" w:hAnsi="微软雅黑" w:eastAsia="微软雅黑"/>
          <w:color w:val="FF0000"/>
          <w:szCs w:val="21"/>
          <w:highlight w:val="yellow"/>
        </w:rPr>
        <w:t xml:space="preserve"> </w:t>
      </w:r>
      <w:r>
        <w:rPr>
          <w:rFonts w:hint="eastAsia" w:ascii="微软雅黑" w:hAnsi="微软雅黑" w:eastAsia="微软雅黑"/>
          <w:color w:val="FF0000"/>
          <w:szCs w:val="21"/>
          <w:highlight w:val="yellow"/>
        </w:rPr>
        <w:t>月</w:t>
      </w:r>
      <w:r>
        <w:rPr>
          <w:rFonts w:hint="eastAsia" w:ascii="微软雅黑" w:hAnsi="微软雅黑" w:eastAsia="微软雅黑"/>
          <w:color w:val="FF0000"/>
          <w:szCs w:val="21"/>
          <w:highlight w:val="yellow"/>
          <w:u w:val="single"/>
        </w:rPr>
        <w:t xml:space="preserve"> </w:t>
      </w:r>
      <w:r>
        <w:rPr>
          <w:rFonts w:ascii="微软雅黑" w:hAnsi="微软雅黑" w:eastAsia="微软雅黑"/>
          <w:color w:val="FF0000"/>
          <w:szCs w:val="21"/>
          <w:highlight w:val="yellow"/>
          <w:u w:val="single"/>
        </w:rPr>
        <w:t xml:space="preserve">29 </w:t>
      </w:r>
      <w:r>
        <w:rPr>
          <w:rFonts w:hint="eastAsia" w:ascii="微软雅黑" w:hAnsi="微软雅黑" w:eastAsia="微软雅黑"/>
          <w:color w:val="FF0000"/>
          <w:szCs w:val="21"/>
          <w:highlight w:val="yellow"/>
        </w:rPr>
        <w:t>日中午12点前</w:t>
      </w:r>
    </w:p>
    <w:p>
      <w:pPr>
        <w:tabs>
          <w:tab w:val="left" w:pos="570"/>
          <w:tab w:val="left" w:pos="782"/>
        </w:tabs>
        <w:spacing w:line="500" w:lineRule="exact"/>
        <w:ind w:left="425"/>
        <w:rPr>
          <w:rFonts w:ascii="微软雅黑" w:hAnsi="微软雅黑" w:eastAsia="微软雅黑"/>
          <w:szCs w:val="21"/>
          <w:u w:val="single"/>
        </w:rPr>
      </w:pPr>
      <w:r>
        <w:rPr>
          <w:rFonts w:hint="eastAsia" w:ascii="微软雅黑" w:hAnsi="微软雅黑" w:eastAsia="微软雅黑"/>
          <w:szCs w:val="21"/>
        </w:rPr>
        <w:t xml:space="preserve">投标保证金金额: </w:t>
      </w:r>
      <w:r>
        <w:rPr>
          <w:rFonts w:hint="eastAsia" w:ascii="微软雅黑" w:hAnsi="微软雅黑" w:eastAsia="微软雅黑"/>
          <w:szCs w:val="21"/>
          <w:highlight w:val="yellow"/>
          <w:u w:val="single"/>
        </w:rPr>
        <w:t>人民币壹万元整</w:t>
      </w:r>
    </w:p>
    <w:p>
      <w:pPr>
        <w:tabs>
          <w:tab w:val="left" w:pos="570"/>
          <w:tab w:val="left" w:pos="782"/>
        </w:tabs>
        <w:spacing w:line="500" w:lineRule="exact"/>
        <w:ind w:left="425"/>
        <w:rPr>
          <w:rFonts w:ascii="微软雅黑" w:hAnsi="微软雅黑" w:eastAsia="微软雅黑"/>
          <w:szCs w:val="21"/>
          <w:u w:val="single"/>
        </w:rPr>
      </w:pPr>
      <w:r>
        <w:rPr>
          <w:rFonts w:hint="eastAsia" w:ascii="微软雅黑" w:hAnsi="微软雅黑" w:eastAsia="微软雅黑"/>
          <w:szCs w:val="21"/>
        </w:rPr>
        <w:t>户名</w:t>
      </w:r>
      <w:r>
        <w:rPr>
          <w:rFonts w:hint="eastAsia" w:ascii="微软雅黑" w:hAnsi="微软雅黑" w:eastAsia="微软雅黑"/>
          <w:szCs w:val="21"/>
          <w:highlight w:val="yellow"/>
        </w:rPr>
        <w:t>:</w:t>
      </w:r>
      <w:r>
        <w:rPr>
          <w:rFonts w:hint="eastAsia" w:ascii="微软雅黑" w:hAnsi="微软雅黑" w:eastAsia="微软雅黑"/>
          <w:szCs w:val="21"/>
          <w:highlight w:val="yellow"/>
          <w:u w:val="single"/>
        </w:rPr>
        <w:t>北国商城股份有限公司</w:t>
      </w:r>
    </w:p>
    <w:p>
      <w:pPr>
        <w:tabs>
          <w:tab w:val="left" w:pos="570"/>
          <w:tab w:val="left" w:pos="782"/>
        </w:tabs>
        <w:spacing w:line="500" w:lineRule="exact"/>
        <w:ind w:left="425"/>
        <w:rPr>
          <w:rFonts w:ascii="微软雅黑" w:hAnsi="微软雅黑" w:eastAsia="微软雅黑"/>
          <w:szCs w:val="21"/>
          <w:u w:val="single"/>
        </w:rPr>
      </w:pPr>
      <w:r>
        <w:rPr>
          <w:rFonts w:hint="eastAsia" w:ascii="微软雅黑" w:hAnsi="微软雅黑" w:eastAsia="微软雅黑"/>
          <w:szCs w:val="21"/>
        </w:rPr>
        <w:t>银行账号：</w:t>
      </w:r>
      <w:r>
        <w:rPr>
          <w:rFonts w:hint="eastAsia" w:ascii="微软雅黑" w:hAnsi="微软雅黑" w:eastAsia="微软雅黑"/>
          <w:szCs w:val="21"/>
          <w:highlight w:val="yellow"/>
          <w:u w:val="single"/>
        </w:rPr>
        <w:t>0402020409300098689</w:t>
      </w:r>
    </w:p>
    <w:p>
      <w:pPr>
        <w:tabs>
          <w:tab w:val="left" w:pos="570"/>
          <w:tab w:val="left" w:pos="782"/>
        </w:tabs>
        <w:spacing w:line="500" w:lineRule="exact"/>
        <w:ind w:left="425"/>
        <w:rPr>
          <w:rFonts w:ascii="微软雅黑" w:hAnsi="微软雅黑" w:eastAsia="微软雅黑"/>
          <w:szCs w:val="21"/>
          <w:u w:val="single"/>
        </w:rPr>
      </w:pPr>
      <w:r>
        <w:rPr>
          <w:rFonts w:hint="eastAsia" w:ascii="微软雅黑" w:hAnsi="微软雅黑" w:eastAsia="微软雅黑"/>
          <w:szCs w:val="21"/>
        </w:rPr>
        <w:t>开户行：</w:t>
      </w:r>
      <w:r>
        <w:rPr>
          <w:rFonts w:hint="eastAsia" w:ascii="微软雅黑" w:hAnsi="微软雅黑" w:eastAsia="微软雅黑"/>
          <w:szCs w:val="21"/>
          <w:highlight w:val="yellow"/>
          <w:u w:val="single"/>
        </w:rPr>
        <w:t>中国工商银行石家庄长安支行</w:t>
      </w:r>
    </w:p>
    <w:p>
      <w:pPr>
        <w:tabs>
          <w:tab w:val="left" w:pos="425"/>
          <w:tab w:val="left" w:pos="570"/>
          <w:tab w:val="left" w:pos="782"/>
        </w:tabs>
        <w:ind w:left="425"/>
        <w:rPr>
          <w:rFonts w:ascii="微软雅黑" w:hAnsi="微软雅黑" w:eastAsia="微软雅黑"/>
          <w:color w:val="000000"/>
          <w:szCs w:val="21"/>
          <w:u w:val="single"/>
        </w:rPr>
      </w:pPr>
      <w:r>
        <w:rPr>
          <w:rFonts w:hint="eastAsia" w:ascii="微软雅黑" w:hAnsi="微软雅黑" w:eastAsia="微软雅黑"/>
          <w:szCs w:val="21"/>
        </w:rPr>
        <w:t>本次招接收投标文件的地点为：</w:t>
      </w:r>
      <w:r>
        <w:rPr>
          <w:rFonts w:hint="eastAsia" w:ascii="微软雅黑" w:hAnsi="微软雅黑" w:eastAsia="微软雅黑"/>
          <w:color w:val="000000"/>
          <w:szCs w:val="21"/>
          <w:highlight w:val="yellow"/>
          <w:u w:val="single"/>
        </w:rPr>
        <w:t>石家庄中山东路188号北国商城9楼911室</w:t>
      </w:r>
    </w:p>
    <w:p>
      <w:pPr>
        <w:tabs>
          <w:tab w:val="left" w:pos="425"/>
          <w:tab w:val="left" w:pos="570"/>
          <w:tab w:val="left" w:pos="782"/>
        </w:tabs>
        <w:spacing w:line="500" w:lineRule="exact"/>
        <w:ind w:left="425"/>
        <w:rPr>
          <w:rFonts w:ascii="微软雅黑" w:hAnsi="微软雅黑" w:eastAsia="微软雅黑"/>
          <w:szCs w:val="21"/>
        </w:rPr>
      </w:pPr>
      <w:r>
        <w:rPr>
          <w:rFonts w:hint="eastAsia" w:ascii="微软雅黑" w:hAnsi="微软雅黑" w:eastAsia="微软雅黑"/>
          <w:szCs w:val="21"/>
        </w:rPr>
        <w:t>开标时间</w:t>
      </w:r>
      <w:r>
        <w:rPr>
          <w:rFonts w:hint="eastAsia" w:ascii="微软雅黑" w:hAnsi="微软雅黑" w:eastAsia="微软雅黑"/>
          <w:color w:val="FF0000"/>
          <w:szCs w:val="21"/>
        </w:rPr>
        <w:t>:</w:t>
      </w:r>
      <w:r>
        <w:rPr>
          <w:rFonts w:hint="eastAsia" w:ascii="微软雅黑" w:hAnsi="微软雅黑" w:eastAsia="微软雅黑"/>
          <w:color w:val="FF0000"/>
          <w:szCs w:val="21"/>
          <w:highlight w:val="yellow"/>
          <w:u w:val="single"/>
        </w:rPr>
        <w:t>20</w:t>
      </w:r>
      <w:r>
        <w:rPr>
          <w:rFonts w:ascii="微软雅黑" w:hAnsi="微软雅黑" w:eastAsia="微软雅黑"/>
          <w:color w:val="FF0000"/>
          <w:szCs w:val="21"/>
          <w:highlight w:val="yellow"/>
          <w:u w:val="single"/>
        </w:rPr>
        <w:t>2</w:t>
      </w:r>
      <w:r>
        <w:rPr>
          <w:rFonts w:hint="eastAsia" w:ascii="微软雅黑" w:hAnsi="微软雅黑" w:eastAsia="微软雅黑"/>
          <w:color w:val="FF0000"/>
          <w:szCs w:val="21"/>
          <w:highlight w:val="yellow"/>
          <w:u w:val="single"/>
        </w:rPr>
        <w:t>3</w:t>
      </w:r>
      <w:r>
        <w:rPr>
          <w:rFonts w:hint="eastAsia" w:ascii="微软雅黑" w:hAnsi="微软雅黑" w:eastAsia="微软雅黑"/>
          <w:color w:val="FF0000"/>
          <w:szCs w:val="21"/>
          <w:highlight w:val="yellow"/>
        </w:rPr>
        <w:t>年</w:t>
      </w:r>
      <w:r>
        <w:rPr>
          <w:rFonts w:ascii="微软雅黑" w:hAnsi="微软雅黑" w:eastAsia="微软雅黑"/>
          <w:color w:val="FF0000"/>
          <w:szCs w:val="21"/>
          <w:highlight w:val="yellow"/>
        </w:rPr>
        <w:t xml:space="preserve"> </w:t>
      </w:r>
      <w:r>
        <w:rPr>
          <w:rFonts w:hint="eastAsia" w:ascii="微软雅黑" w:hAnsi="微软雅黑" w:eastAsia="微软雅黑"/>
          <w:color w:val="FF0000"/>
          <w:szCs w:val="21"/>
          <w:highlight w:val="yellow"/>
          <w:u w:val="single"/>
        </w:rPr>
        <w:t xml:space="preserve"> 7</w:t>
      </w:r>
      <w:r>
        <w:rPr>
          <w:rFonts w:ascii="微软雅黑" w:hAnsi="微软雅黑" w:eastAsia="微软雅黑"/>
          <w:color w:val="FF0000"/>
          <w:szCs w:val="21"/>
          <w:highlight w:val="yellow"/>
          <w:u w:val="single"/>
        </w:rPr>
        <w:t xml:space="preserve"> </w:t>
      </w:r>
      <w:r>
        <w:rPr>
          <w:rFonts w:ascii="微软雅黑" w:hAnsi="微软雅黑" w:eastAsia="微软雅黑"/>
          <w:color w:val="FF0000"/>
          <w:szCs w:val="21"/>
          <w:highlight w:val="yellow"/>
        </w:rPr>
        <w:t xml:space="preserve"> </w:t>
      </w:r>
      <w:r>
        <w:rPr>
          <w:rFonts w:hint="eastAsia" w:ascii="微软雅黑" w:hAnsi="微软雅黑" w:eastAsia="微软雅黑"/>
          <w:color w:val="FF0000"/>
          <w:szCs w:val="21"/>
          <w:highlight w:val="yellow"/>
        </w:rPr>
        <w:t>月</w:t>
      </w:r>
      <w:r>
        <w:rPr>
          <w:rFonts w:hint="eastAsia" w:ascii="微软雅黑" w:hAnsi="微软雅黑" w:eastAsia="微软雅黑"/>
          <w:color w:val="FF0000"/>
          <w:szCs w:val="21"/>
          <w:highlight w:val="yellow"/>
          <w:u w:val="single"/>
        </w:rPr>
        <w:t xml:space="preserve"> </w:t>
      </w:r>
      <w:r>
        <w:rPr>
          <w:rFonts w:ascii="微软雅黑" w:hAnsi="微软雅黑" w:eastAsia="微软雅黑"/>
          <w:color w:val="FF0000"/>
          <w:szCs w:val="21"/>
          <w:highlight w:val="yellow"/>
          <w:u w:val="single"/>
        </w:rPr>
        <w:t xml:space="preserve">31 </w:t>
      </w:r>
      <w:r>
        <w:rPr>
          <w:rFonts w:ascii="微软雅黑" w:hAnsi="微软雅黑" w:eastAsia="微软雅黑"/>
          <w:color w:val="FF0000"/>
          <w:szCs w:val="21"/>
          <w:highlight w:val="yellow"/>
        </w:rPr>
        <w:t xml:space="preserve"> </w:t>
      </w:r>
      <w:r>
        <w:rPr>
          <w:rFonts w:hint="eastAsia" w:ascii="微软雅黑" w:hAnsi="微软雅黑" w:eastAsia="微软雅黑"/>
          <w:color w:val="FF0000"/>
          <w:szCs w:val="21"/>
          <w:highlight w:val="yellow"/>
        </w:rPr>
        <w:t>日至</w:t>
      </w:r>
      <w:r>
        <w:rPr>
          <w:rFonts w:hint="eastAsia" w:ascii="微软雅黑" w:hAnsi="微软雅黑" w:eastAsia="微软雅黑"/>
          <w:color w:val="FF0000"/>
          <w:szCs w:val="21"/>
          <w:highlight w:val="yellow"/>
          <w:u w:val="single"/>
        </w:rPr>
        <w:t xml:space="preserve"> 20</w:t>
      </w:r>
      <w:r>
        <w:rPr>
          <w:rFonts w:ascii="微软雅黑" w:hAnsi="微软雅黑" w:eastAsia="微软雅黑"/>
          <w:color w:val="FF0000"/>
          <w:szCs w:val="21"/>
          <w:highlight w:val="yellow"/>
          <w:u w:val="single"/>
        </w:rPr>
        <w:t>2</w:t>
      </w:r>
      <w:r>
        <w:rPr>
          <w:rFonts w:hint="eastAsia" w:ascii="微软雅黑" w:hAnsi="微软雅黑" w:eastAsia="微软雅黑"/>
          <w:color w:val="FF0000"/>
          <w:szCs w:val="21"/>
          <w:highlight w:val="yellow"/>
          <w:u w:val="single"/>
        </w:rPr>
        <w:t>3</w:t>
      </w:r>
      <w:r>
        <w:rPr>
          <w:rFonts w:hint="eastAsia" w:ascii="微软雅黑" w:hAnsi="微软雅黑" w:eastAsia="微软雅黑"/>
          <w:color w:val="FF0000"/>
          <w:szCs w:val="21"/>
          <w:highlight w:val="yellow"/>
        </w:rPr>
        <w:t>年</w:t>
      </w:r>
      <w:r>
        <w:rPr>
          <w:rFonts w:hint="eastAsia" w:ascii="微软雅黑" w:hAnsi="微软雅黑" w:eastAsia="微软雅黑"/>
          <w:color w:val="FF0000"/>
          <w:szCs w:val="21"/>
          <w:highlight w:val="yellow"/>
          <w:u w:val="single"/>
        </w:rPr>
        <w:t xml:space="preserve"> </w:t>
      </w:r>
      <w:r>
        <w:rPr>
          <w:rFonts w:ascii="微软雅黑" w:hAnsi="微软雅黑" w:eastAsia="微软雅黑"/>
          <w:color w:val="FF0000"/>
          <w:szCs w:val="21"/>
          <w:highlight w:val="yellow"/>
          <w:u w:val="single"/>
        </w:rPr>
        <w:t>8</w:t>
      </w:r>
      <w:r>
        <w:rPr>
          <w:rFonts w:hint="eastAsia" w:ascii="微软雅黑" w:hAnsi="微软雅黑" w:eastAsia="微软雅黑"/>
          <w:color w:val="FF0000"/>
          <w:szCs w:val="21"/>
          <w:highlight w:val="yellow"/>
        </w:rPr>
        <w:t>月</w:t>
      </w:r>
      <w:r>
        <w:rPr>
          <w:rFonts w:hint="eastAsia" w:ascii="微软雅黑" w:hAnsi="微软雅黑" w:eastAsia="微软雅黑"/>
          <w:color w:val="FF0000"/>
          <w:szCs w:val="21"/>
          <w:highlight w:val="yellow"/>
          <w:u w:val="single"/>
        </w:rPr>
        <w:t xml:space="preserve"> </w:t>
      </w:r>
      <w:r>
        <w:rPr>
          <w:rFonts w:ascii="微软雅黑" w:hAnsi="微软雅黑" w:eastAsia="微软雅黑"/>
          <w:color w:val="FF0000"/>
          <w:szCs w:val="21"/>
          <w:highlight w:val="yellow"/>
          <w:u w:val="single"/>
        </w:rPr>
        <w:t xml:space="preserve">2 </w:t>
      </w:r>
      <w:r>
        <w:rPr>
          <w:rFonts w:hint="eastAsia" w:ascii="微软雅黑" w:hAnsi="微软雅黑" w:eastAsia="微软雅黑"/>
          <w:color w:val="FF0000"/>
          <w:szCs w:val="21"/>
          <w:highlight w:val="yellow"/>
        </w:rPr>
        <w:t>日</w:t>
      </w:r>
    </w:p>
    <w:p>
      <w:pPr>
        <w:ind w:firstLine="405"/>
        <w:rPr>
          <w:rFonts w:ascii="微软雅黑" w:hAnsi="微软雅黑" w:eastAsia="微软雅黑"/>
          <w:u w:val="single"/>
        </w:rPr>
      </w:pPr>
      <w:r>
        <w:rPr>
          <w:rFonts w:hint="eastAsia" w:ascii="微软雅黑" w:hAnsi="微软雅黑" w:eastAsia="微软雅黑"/>
          <w:szCs w:val="21"/>
        </w:rPr>
        <w:t>联系人员：</w:t>
      </w:r>
      <w:r>
        <w:rPr>
          <w:rFonts w:hint="eastAsia" w:ascii="微软雅黑" w:hAnsi="微软雅黑" w:eastAsia="微软雅黑"/>
          <w:szCs w:val="21"/>
          <w:u w:val="single"/>
        </w:rPr>
        <w:t xml:space="preserve">  高辰 王冠华 </w:t>
      </w:r>
      <w:r>
        <w:rPr>
          <w:rFonts w:hint="eastAsia" w:ascii="微软雅黑" w:hAnsi="微软雅黑" w:eastAsia="微软雅黑"/>
          <w:szCs w:val="21"/>
        </w:rPr>
        <w:t>联系电话：</w:t>
      </w:r>
      <w:r>
        <w:rPr>
          <w:rFonts w:hint="eastAsia" w:ascii="微软雅黑" w:hAnsi="微软雅黑" w:eastAsia="微软雅黑"/>
          <w:szCs w:val="21"/>
          <w:u w:val="single"/>
        </w:rPr>
        <w:t xml:space="preserve"> </w:t>
      </w:r>
      <w:r>
        <w:rPr>
          <w:rFonts w:hint="eastAsia" w:ascii="微软雅黑" w:hAnsi="微软雅黑" w:eastAsia="微软雅黑"/>
          <w:szCs w:val="21"/>
          <w:highlight w:val="yellow"/>
          <w:u w:val="single"/>
        </w:rPr>
        <w:t>85261938  85261771</w:t>
      </w:r>
    </w:p>
    <w:p>
      <w:pPr>
        <w:ind w:firstLine="405"/>
        <w:rPr>
          <w:rFonts w:ascii="微软雅黑" w:hAnsi="微软雅黑" w:eastAsia="微软雅黑"/>
          <w:u w:val="single"/>
        </w:rPr>
      </w:pPr>
      <w:r>
        <w:rPr>
          <w:rFonts w:hint="eastAsia" w:ascii="微软雅黑" w:hAnsi="微软雅黑" w:eastAsia="微软雅黑"/>
        </w:rPr>
        <w:t xml:space="preserve">现场联系人: </w:t>
      </w:r>
      <w:r>
        <w:rPr>
          <w:rFonts w:hint="eastAsia" w:ascii="微软雅黑" w:hAnsi="微软雅黑" w:eastAsia="微软雅黑"/>
          <w:u w:val="single"/>
        </w:rPr>
        <w:t xml:space="preserve"> 郭炜 </w:t>
      </w:r>
      <w:r>
        <w:rPr>
          <w:rFonts w:hint="eastAsia" w:ascii="微软雅黑" w:hAnsi="微软雅黑" w:eastAsia="微软雅黑"/>
        </w:rPr>
        <w:t xml:space="preserve">联系电话: </w:t>
      </w:r>
      <w:r>
        <w:rPr>
          <w:rFonts w:hint="eastAsia" w:ascii="微软雅黑" w:hAnsi="微软雅黑" w:eastAsia="微软雅黑"/>
          <w:u w:val="single"/>
        </w:rPr>
        <w:t xml:space="preserve"> 18803310390 </w:t>
      </w:r>
    </w:p>
    <w:p>
      <w:pPr>
        <w:ind w:firstLine="510"/>
        <w:rPr>
          <w:rFonts w:ascii="微软雅黑" w:hAnsi="微软雅黑" w:eastAsia="微软雅黑"/>
          <w:szCs w:val="21"/>
        </w:rPr>
      </w:pPr>
      <w:r>
        <w:rPr>
          <w:rFonts w:hint="eastAsia" w:ascii="微软雅黑" w:hAnsi="微软雅黑" w:eastAsia="微软雅黑"/>
          <w:szCs w:val="21"/>
        </w:rPr>
        <w:t>请贵司在收到邀请函后予以及时确认，并缴纳投标保证金。</w:t>
      </w:r>
    </w:p>
    <w:p>
      <w:pPr>
        <w:ind w:firstLine="510"/>
        <w:rPr>
          <w:rFonts w:ascii="微软雅黑" w:hAnsi="微软雅黑" w:eastAsia="微软雅黑"/>
          <w:szCs w:val="21"/>
        </w:rPr>
      </w:pPr>
      <w:r>
        <w:rPr>
          <w:rFonts w:hint="eastAsia" w:ascii="微软雅黑" w:hAnsi="微软雅黑" w:eastAsia="微软雅黑"/>
          <w:szCs w:val="21"/>
        </w:rPr>
        <w:t>顺颂商祺！</w:t>
      </w:r>
    </w:p>
    <w:p>
      <w:pPr>
        <w:rPr>
          <w:rFonts w:ascii="微软雅黑" w:hAnsi="微软雅黑" w:eastAsia="微软雅黑"/>
        </w:rPr>
      </w:pPr>
      <w:r>
        <w:rPr>
          <w:rFonts w:hint="eastAsia" w:ascii="微软雅黑" w:hAnsi="微软雅黑" w:eastAsia="微软雅黑"/>
          <w:szCs w:val="21"/>
        </w:rPr>
        <w:t xml:space="preserve">                                                              （投标单位确认盖章）</w:t>
      </w:r>
    </w:p>
    <w:p>
      <w:pPr>
        <w:rPr>
          <w:rFonts w:ascii="微软雅黑" w:hAnsi="微软雅黑" w:eastAsia="微软雅黑"/>
        </w:rPr>
      </w:pPr>
    </w:p>
    <w:p>
      <w:pPr>
        <w:rPr>
          <w:rFonts w:ascii="微软雅黑" w:hAnsi="微软雅黑" w:eastAsia="微软雅黑"/>
        </w:rPr>
      </w:pPr>
    </w:p>
    <w:p>
      <w:pPr>
        <w:rPr>
          <w:rFonts w:ascii="微软雅黑" w:hAnsi="微软雅黑" w:eastAsia="微软雅黑"/>
        </w:rPr>
      </w:pPr>
    </w:p>
    <w:p>
      <w:pPr>
        <w:rPr>
          <w:rFonts w:ascii="微软雅黑" w:hAnsi="微软雅黑" w:eastAsia="微软雅黑"/>
        </w:rPr>
      </w:pPr>
    </w:p>
    <w:p>
      <w:pPr>
        <w:rPr>
          <w:rFonts w:ascii="微软雅黑" w:hAnsi="微软雅黑" w:eastAsia="微软雅黑"/>
        </w:rPr>
      </w:pPr>
    </w:p>
    <w:p>
      <w:pPr>
        <w:rPr>
          <w:rFonts w:ascii="微软雅黑" w:hAnsi="微软雅黑" w:eastAsia="微软雅黑"/>
        </w:rPr>
      </w:pPr>
    </w:p>
    <w:p>
      <w:pPr>
        <w:rPr>
          <w:rFonts w:ascii="微软雅黑" w:hAnsi="微软雅黑" w:eastAsia="微软雅黑"/>
        </w:rPr>
      </w:pPr>
    </w:p>
    <w:p>
      <w:pPr>
        <w:rPr>
          <w:rFonts w:ascii="微软雅黑" w:hAnsi="微软雅黑" w:eastAsia="微软雅黑"/>
        </w:rPr>
      </w:pPr>
    </w:p>
    <w:p>
      <w:pPr>
        <w:rPr>
          <w:rFonts w:ascii="微软雅黑" w:hAnsi="微软雅黑" w:eastAsia="微软雅黑"/>
        </w:rPr>
      </w:pPr>
    </w:p>
    <w:p>
      <w:pPr>
        <w:rPr>
          <w:rFonts w:ascii="微软雅黑" w:hAnsi="微软雅黑" w:eastAsia="微软雅黑"/>
        </w:rPr>
      </w:pPr>
    </w:p>
    <w:p>
      <w:pPr>
        <w:rPr>
          <w:rFonts w:ascii="微软雅黑" w:hAnsi="微软雅黑" w:eastAsia="微软雅黑"/>
        </w:rPr>
      </w:pPr>
    </w:p>
    <w:p>
      <w:pPr>
        <w:rPr>
          <w:rFonts w:ascii="微软雅黑" w:hAnsi="微软雅黑" w:eastAsia="微软雅黑"/>
        </w:rPr>
      </w:pPr>
    </w:p>
    <w:p>
      <w:pPr>
        <w:rPr>
          <w:rFonts w:ascii="微软雅黑" w:hAnsi="微软雅黑" w:eastAsia="微软雅黑"/>
        </w:rPr>
      </w:pPr>
    </w:p>
    <w:p>
      <w:pPr>
        <w:rPr>
          <w:rFonts w:ascii="微软雅黑" w:hAnsi="微软雅黑" w:eastAsia="微软雅黑"/>
        </w:rPr>
      </w:pPr>
    </w:p>
    <w:p>
      <w:pPr>
        <w:ind w:firstLine="420" w:firstLineChars="200"/>
        <w:rPr>
          <w:rFonts w:ascii="微软雅黑" w:hAnsi="微软雅黑" w:eastAsia="微软雅黑"/>
        </w:rPr>
      </w:pPr>
    </w:p>
    <w:p>
      <w:pPr>
        <w:ind w:firstLine="420" w:firstLineChars="200"/>
        <w:rPr>
          <w:rFonts w:ascii="微软雅黑" w:hAnsi="微软雅黑" w:eastAsia="微软雅黑"/>
        </w:rPr>
      </w:pPr>
    </w:p>
    <w:p>
      <w:pPr>
        <w:rPr>
          <w:rFonts w:ascii="微软雅黑" w:hAnsi="微软雅黑" w:eastAsia="微软雅黑"/>
        </w:rPr>
      </w:pPr>
    </w:p>
    <w:p>
      <w:pPr>
        <w:pStyle w:val="2"/>
        <w:rPr>
          <w:rFonts w:ascii="微软雅黑" w:hAnsi="微软雅黑" w:eastAsia="微软雅黑"/>
          <w:sz w:val="32"/>
          <w:szCs w:val="32"/>
        </w:rPr>
      </w:pPr>
      <w:bookmarkStart w:id="3" w:name="_Toc533173045"/>
      <w:r>
        <w:rPr>
          <w:rFonts w:hint="eastAsia" w:ascii="微软雅黑" w:hAnsi="微软雅黑" w:eastAsia="微软雅黑"/>
          <w:sz w:val="32"/>
          <w:szCs w:val="32"/>
        </w:rPr>
        <w:t>2.投标须知</w:t>
      </w:r>
      <w:bookmarkEnd w:id="2"/>
      <w:bookmarkEnd w:id="3"/>
      <w:bookmarkStart w:id="4" w:name="_Toc376179250"/>
      <w:bookmarkEnd w:id="4"/>
      <w:bookmarkStart w:id="5" w:name="_Toc376179042"/>
      <w:bookmarkEnd w:id="5"/>
      <w:bookmarkStart w:id="6" w:name="_Toc376179522"/>
      <w:bookmarkEnd w:id="6"/>
      <w:bookmarkStart w:id="7" w:name="_Toc376179409"/>
      <w:bookmarkEnd w:id="7"/>
      <w:bookmarkStart w:id="8" w:name="_Toc376185074"/>
      <w:bookmarkEnd w:id="8"/>
      <w:bookmarkStart w:id="9" w:name="_Toc376185075"/>
      <w:bookmarkEnd w:id="9"/>
      <w:bookmarkStart w:id="10" w:name="_Toc376179362"/>
      <w:bookmarkEnd w:id="10"/>
      <w:bookmarkStart w:id="11" w:name="_Toc376181963"/>
      <w:bookmarkEnd w:id="11"/>
      <w:bookmarkStart w:id="12" w:name="_Toc516486638"/>
      <w:bookmarkStart w:id="13" w:name="_Toc374627167"/>
    </w:p>
    <w:p>
      <w:pPr>
        <w:pStyle w:val="3"/>
        <w:rPr>
          <w:rFonts w:ascii="微软雅黑" w:hAnsi="微软雅黑" w:eastAsia="微软雅黑"/>
          <w:sz w:val="30"/>
          <w:szCs w:val="30"/>
        </w:rPr>
      </w:pPr>
      <w:bookmarkStart w:id="14" w:name="_Toc526784149"/>
      <w:bookmarkStart w:id="15" w:name="_Toc533173046"/>
      <w:r>
        <w:rPr>
          <w:rFonts w:hint="eastAsia" w:ascii="微软雅黑" w:hAnsi="微软雅黑" w:eastAsia="微软雅黑"/>
          <w:sz w:val="30"/>
          <w:szCs w:val="30"/>
        </w:rPr>
        <w:t>2.1概述</w:t>
      </w:r>
      <w:bookmarkEnd w:id="12"/>
      <w:bookmarkEnd w:id="13"/>
      <w:bookmarkEnd w:id="14"/>
      <w:bookmarkEnd w:id="15"/>
    </w:p>
    <w:p>
      <w:pPr>
        <w:pStyle w:val="21"/>
        <w:widowControl/>
        <w:numPr>
          <w:ilvl w:val="0"/>
          <w:numId w:val="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招标范围：本次招标活动系针对北国汇新城信息机房建设而举行，不针对单个特定项目，投标人对此应予以综合考量，</w:t>
      </w:r>
      <w:r>
        <w:rPr>
          <w:rFonts w:hint="eastAsia" w:ascii="微软雅黑" w:hAnsi="微软雅黑" w:eastAsia="微软雅黑"/>
          <w:color w:val="FF0000"/>
          <w:szCs w:val="21"/>
          <w:highlight w:val="yellow"/>
        </w:rPr>
        <w:t>后期不得增项</w:t>
      </w:r>
      <w:r>
        <w:rPr>
          <w:rFonts w:hint="eastAsia" w:ascii="微软雅黑" w:hAnsi="微软雅黑" w:eastAsia="微软雅黑"/>
          <w:szCs w:val="21"/>
        </w:rPr>
        <w:t>。在本次招标活动中，投标人一旦中标，其自报的中标价及承诺等均适用于北国汇新城信息机房项目，投标人在投标文件中须对此做出响应，否则将被视作废标。</w:t>
      </w:r>
    </w:p>
    <w:p>
      <w:pPr>
        <w:pStyle w:val="21"/>
        <w:widowControl/>
        <w:numPr>
          <w:ilvl w:val="0"/>
          <w:numId w:val="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招标方式：公开招标。</w:t>
      </w:r>
    </w:p>
    <w:p>
      <w:pPr>
        <w:pStyle w:val="21"/>
        <w:widowControl/>
        <w:numPr>
          <w:ilvl w:val="0"/>
          <w:numId w:val="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投标有效期：项目实施全过程。</w:t>
      </w:r>
    </w:p>
    <w:p>
      <w:pPr>
        <w:pStyle w:val="21"/>
        <w:widowControl/>
        <w:numPr>
          <w:ilvl w:val="0"/>
          <w:numId w:val="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无论投标的结果如何，投标人自行承担因参加投标发生的全部费用及风险。</w:t>
      </w:r>
    </w:p>
    <w:p>
      <w:pPr>
        <w:pStyle w:val="21"/>
        <w:widowControl/>
        <w:numPr>
          <w:ilvl w:val="0"/>
          <w:numId w:val="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招标活动安排：投标的单位必须严格按照招标文件规定的日程安排和规则准时参加招标活动。</w:t>
      </w:r>
    </w:p>
    <w:p>
      <w:pPr>
        <w:pStyle w:val="21"/>
        <w:widowControl/>
        <w:numPr>
          <w:ilvl w:val="0"/>
          <w:numId w:val="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投标截止日期:</w:t>
      </w:r>
      <w:r>
        <w:rPr>
          <w:rFonts w:hint="eastAsia" w:ascii="微软雅黑" w:hAnsi="微软雅黑" w:eastAsia="微软雅黑"/>
          <w:szCs w:val="21"/>
          <w:u w:val="single"/>
        </w:rPr>
        <w:t xml:space="preserve"> </w:t>
      </w:r>
      <w:r>
        <w:rPr>
          <w:rFonts w:hint="eastAsia" w:ascii="微软雅黑" w:hAnsi="微软雅黑" w:eastAsia="微软雅黑"/>
          <w:szCs w:val="21"/>
          <w:highlight w:val="yellow"/>
          <w:u w:val="single"/>
        </w:rPr>
        <w:t>2023</w:t>
      </w:r>
      <w:r>
        <w:rPr>
          <w:rFonts w:hint="eastAsia" w:ascii="微软雅黑" w:hAnsi="微软雅黑" w:eastAsia="微软雅黑"/>
          <w:szCs w:val="21"/>
          <w:highlight w:val="yellow"/>
        </w:rPr>
        <w:t>年</w:t>
      </w:r>
      <w:r>
        <w:rPr>
          <w:rFonts w:hint="eastAsia" w:ascii="微软雅黑" w:hAnsi="微软雅黑" w:eastAsia="微软雅黑"/>
          <w:szCs w:val="21"/>
          <w:highlight w:val="yellow"/>
          <w:u w:val="single"/>
        </w:rPr>
        <w:t xml:space="preserve"> 7</w:t>
      </w:r>
      <w:r>
        <w:rPr>
          <w:rFonts w:hint="eastAsia" w:ascii="微软雅黑" w:hAnsi="微软雅黑" w:eastAsia="微软雅黑"/>
          <w:szCs w:val="21"/>
          <w:highlight w:val="yellow"/>
        </w:rPr>
        <w:t>月</w:t>
      </w:r>
      <w:r>
        <w:rPr>
          <w:rFonts w:hint="eastAsia" w:ascii="微软雅黑" w:hAnsi="微软雅黑" w:eastAsia="微软雅黑"/>
          <w:szCs w:val="21"/>
          <w:highlight w:val="yellow"/>
          <w:u w:val="single"/>
        </w:rPr>
        <w:t xml:space="preserve"> 2</w:t>
      </w:r>
      <w:r>
        <w:rPr>
          <w:rFonts w:ascii="微软雅黑" w:hAnsi="微软雅黑" w:eastAsia="微软雅黑"/>
          <w:szCs w:val="21"/>
          <w:highlight w:val="yellow"/>
          <w:u w:val="single"/>
        </w:rPr>
        <w:t>9</w:t>
      </w:r>
      <w:r>
        <w:rPr>
          <w:rFonts w:hint="eastAsia" w:ascii="微软雅黑" w:hAnsi="微软雅黑" w:eastAsia="微软雅黑"/>
          <w:szCs w:val="21"/>
          <w:highlight w:val="yellow"/>
        </w:rPr>
        <w:t>日1</w:t>
      </w:r>
      <w:r>
        <w:rPr>
          <w:rFonts w:hint="eastAsia" w:ascii="微软雅黑" w:hAnsi="微软雅黑" w:eastAsia="微软雅黑"/>
          <w:szCs w:val="21"/>
          <w:highlight w:val="yellow"/>
          <w:lang w:val="en-US" w:eastAsia="zh-CN"/>
        </w:rPr>
        <w:t>2</w:t>
      </w:r>
      <w:r>
        <w:rPr>
          <w:rFonts w:hint="eastAsia" w:ascii="微软雅黑" w:hAnsi="微软雅黑" w:eastAsia="微软雅黑"/>
          <w:szCs w:val="21"/>
          <w:highlight w:val="yellow"/>
        </w:rPr>
        <w:t>：0</w:t>
      </w:r>
      <w:r>
        <w:rPr>
          <w:rFonts w:ascii="微软雅黑" w:hAnsi="微软雅黑" w:eastAsia="微软雅黑"/>
          <w:szCs w:val="21"/>
          <w:highlight w:val="yellow"/>
        </w:rPr>
        <w:t>0</w:t>
      </w:r>
      <w:r>
        <w:rPr>
          <w:rFonts w:hint="eastAsia" w:ascii="微软雅黑" w:hAnsi="微软雅黑" w:eastAsia="微软雅黑"/>
          <w:szCs w:val="21"/>
          <w:highlight w:val="yellow"/>
        </w:rPr>
        <w:t>之前</w:t>
      </w:r>
      <w:r>
        <w:rPr>
          <w:rFonts w:hint="eastAsia" w:ascii="微软雅黑" w:hAnsi="微软雅黑" w:eastAsia="微软雅黑"/>
          <w:szCs w:val="21"/>
        </w:rPr>
        <w:t>，将投标文件提交招标人。</w:t>
      </w:r>
      <w:bookmarkStart w:id="132" w:name="_GoBack"/>
      <w:bookmarkEnd w:id="132"/>
    </w:p>
    <w:p>
      <w:pPr>
        <w:pStyle w:val="21"/>
        <w:widowControl/>
        <w:numPr>
          <w:ilvl w:val="0"/>
          <w:numId w:val="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招标文件的澄清：任何要求澄清招标文件的投标人，均应在投标邀请规定的递交书面疑问截止期限内以传真等书面形式通知招标人。招标人将召开答疑会或以书面形式统一予以答复，招标人的答复对所有投标人均有效。在投标截止日期前的任何时候，无论出于何种原因，招标人可主动或在解答投标人提出的问题时,对招标文件进行修改并告知投标人。</w:t>
      </w:r>
      <w:bookmarkStart w:id="16" w:name="_Toc516486639"/>
    </w:p>
    <w:p>
      <w:pPr>
        <w:pStyle w:val="3"/>
        <w:rPr>
          <w:rFonts w:ascii="微软雅黑" w:hAnsi="微软雅黑" w:eastAsia="微软雅黑"/>
          <w:sz w:val="30"/>
          <w:szCs w:val="30"/>
        </w:rPr>
      </w:pPr>
      <w:bookmarkStart w:id="17" w:name="_Toc526784150"/>
      <w:bookmarkStart w:id="18" w:name="_Toc533173047"/>
      <w:r>
        <w:rPr>
          <w:rFonts w:hint="eastAsia" w:ascii="微软雅黑" w:hAnsi="微软雅黑" w:eastAsia="微软雅黑"/>
          <w:sz w:val="30"/>
          <w:szCs w:val="30"/>
        </w:rPr>
        <w:t>2.2投标人资格要求</w:t>
      </w:r>
      <w:bookmarkEnd w:id="16"/>
      <w:bookmarkEnd w:id="17"/>
      <w:bookmarkEnd w:id="18"/>
    </w:p>
    <w:p>
      <w:pPr>
        <w:pStyle w:val="21"/>
        <w:widowControl/>
        <w:numPr>
          <w:ilvl w:val="0"/>
          <w:numId w:val="3"/>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投标人应在中华人民共和国注册具有独立法人资格，持有《企业法人营业执照》；具备本项目要求的技防建设实施能力及维护能力；且具备履行本招标内容能力的独立法人。</w:t>
      </w:r>
    </w:p>
    <w:p>
      <w:pPr>
        <w:pStyle w:val="21"/>
        <w:widowControl/>
        <w:numPr>
          <w:ilvl w:val="0"/>
          <w:numId w:val="3"/>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投标人必须具有专业资质，能提供良好的技术支持和售后服务，有机房建设实施经验和成功案例。</w:t>
      </w:r>
    </w:p>
    <w:p>
      <w:pPr>
        <w:pStyle w:val="42"/>
        <w:widowControl/>
        <w:numPr>
          <w:ilvl w:val="0"/>
          <w:numId w:val="3"/>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投标人必须有良好的企业财务状况，提供包括近自投标之日起近二年的会计师事务所审计的审计报告及加盖会计师事务所公章的财务报表（资产负债表、损益表及现金流量表）。</w:t>
      </w:r>
    </w:p>
    <w:p>
      <w:pPr>
        <w:pStyle w:val="42"/>
        <w:widowControl/>
        <w:numPr>
          <w:ilvl w:val="0"/>
          <w:numId w:val="3"/>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投标人具备完善和有效可靠运行的质量保证体系。</w:t>
      </w:r>
    </w:p>
    <w:p>
      <w:pPr>
        <w:pStyle w:val="3"/>
        <w:rPr>
          <w:rFonts w:ascii="微软雅黑" w:hAnsi="微软雅黑" w:eastAsia="微软雅黑"/>
          <w:sz w:val="30"/>
          <w:szCs w:val="30"/>
        </w:rPr>
      </w:pPr>
      <w:bookmarkStart w:id="19" w:name="_Toc526784151"/>
      <w:bookmarkStart w:id="20" w:name="_Toc516486640"/>
      <w:bookmarkStart w:id="21" w:name="_Toc533173048"/>
      <w:r>
        <w:rPr>
          <w:rFonts w:hint="eastAsia" w:ascii="微软雅黑" w:hAnsi="微软雅黑" w:eastAsia="微软雅黑"/>
          <w:sz w:val="30"/>
          <w:szCs w:val="30"/>
        </w:rPr>
        <w:t>2.3投标文件的组成</w:t>
      </w:r>
      <w:bookmarkEnd w:id="19"/>
      <w:bookmarkEnd w:id="20"/>
      <w:bookmarkEnd w:id="21"/>
    </w:p>
    <w:p>
      <w:pPr>
        <w:pStyle w:val="21"/>
        <w:widowControl/>
        <w:numPr>
          <w:ilvl w:val="0"/>
          <w:numId w:val="4"/>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投标人所提交的投标文件；正本一份及副本四份（附投标报价电子版，但以书面文件报价为准）；</w:t>
      </w:r>
    </w:p>
    <w:p>
      <w:pPr>
        <w:pStyle w:val="42"/>
        <w:widowControl/>
        <w:numPr>
          <w:ilvl w:val="1"/>
          <w:numId w:val="4"/>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正本一份及副本三份（附投标电子版，但以书面文件报价为准）；</w:t>
      </w:r>
    </w:p>
    <w:p>
      <w:pPr>
        <w:pStyle w:val="42"/>
        <w:widowControl/>
        <w:numPr>
          <w:ilvl w:val="1"/>
          <w:numId w:val="4"/>
        </w:numPr>
        <w:spacing w:line="480" w:lineRule="auto"/>
        <w:ind w:firstLineChars="0"/>
        <w:jc w:val="left"/>
        <w:rPr>
          <w:rFonts w:ascii="微软雅黑" w:hAnsi="微软雅黑" w:eastAsia="微软雅黑"/>
          <w:color w:val="FF0000"/>
          <w:szCs w:val="21"/>
        </w:rPr>
      </w:pPr>
      <w:r>
        <w:rPr>
          <w:rFonts w:hint="eastAsia" w:ascii="微软雅黑" w:hAnsi="微软雅黑" w:eastAsia="微软雅黑"/>
          <w:color w:val="FF0000"/>
          <w:szCs w:val="21"/>
        </w:rPr>
        <w:t>投标文件电子版本须提供</w:t>
      </w:r>
      <w:r>
        <w:rPr>
          <w:rFonts w:ascii="微软雅黑" w:hAnsi="微软雅黑" w:eastAsia="微软雅黑"/>
          <w:color w:val="FF0000"/>
          <w:szCs w:val="21"/>
        </w:rPr>
        <w:t>PDF</w:t>
      </w:r>
      <w:r>
        <w:rPr>
          <w:rFonts w:hint="eastAsia" w:ascii="微软雅黑" w:hAnsi="微软雅黑" w:eastAsia="微软雅黑"/>
          <w:color w:val="FF0000"/>
          <w:szCs w:val="21"/>
        </w:rPr>
        <w:t>格式文件。</w:t>
      </w:r>
    </w:p>
    <w:p>
      <w:pPr>
        <w:pStyle w:val="42"/>
        <w:widowControl/>
        <w:numPr>
          <w:ilvl w:val="1"/>
          <w:numId w:val="4"/>
        </w:numPr>
        <w:spacing w:line="480" w:lineRule="auto"/>
        <w:ind w:firstLineChars="0"/>
        <w:jc w:val="left"/>
        <w:rPr>
          <w:rFonts w:ascii="微软雅黑" w:hAnsi="微软雅黑" w:eastAsia="微软雅黑"/>
          <w:color w:val="FF0000"/>
          <w:szCs w:val="21"/>
        </w:rPr>
      </w:pPr>
      <w:r>
        <w:rPr>
          <w:rFonts w:hint="eastAsia" w:ascii="微软雅黑" w:hAnsi="微软雅黑" w:eastAsia="微软雅黑"/>
          <w:color w:val="FF0000"/>
          <w:szCs w:val="21"/>
        </w:rPr>
        <w:t>提供单独的电子版报价文件。</w:t>
      </w:r>
    </w:p>
    <w:p>
      <w:pPr>
        <w:pStyle w:val="21"/>
        <w:widowControl/>
        <w:numPr>
          <w:ilvl w:val="0"/>
          <w:numId w:val="4"/>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投标文件应打印装订成册，纸张规格为A4，正文为宋体，大小为小四号至三号字，密封于档案袋内，封面注明 “北国汇新城信息机房建设项目投标文件”及单位名称，加盖公章，并根据投标邀请上注明的回标日期及地址提交。</w:t>
      </w:r>
    </w:p>
    <w:p>
      <w:pPr>
        <w:pStyle w:val="21"/>
        <w:widowControl/>
        <w:numPr>
          <w:ilvl w:val="0"/>
          <w:numId w:val="4"/>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投标人提交的投标文件应符合招标文件的规定，投标文件不全</w:t>
      </w:r>
      <w:r>
        <w:rPr>
          <w:rFonts w:hint="eastAsia" w:ascii="微软雅黑" w:hAnsi="微软雅黑" w:eastAsia="微软雅黑"/>
          <w:color w:val="FF0000"/>
          <w:szCs w:val="21"/>
        </w:rPr>
        <w:t>、无电子版</w:t>
      </w:r>
      <w:r>
        <w:rPr>
          <w:rFonts w:hint="eastAsia" w:ascii="微软雅黑" w:hAnsi="微软雅黑" w:eastAsia="微软雅黑"/>
          <w:szCs w:val="21"/>
        </w:rPr>
        <w:t>的视为废标。投标人严格按照投标报价清单内的主要品牌进行投标，否者视为废标。</w:t>
      </w:r>
    </w:p>
    <w:p>
      <w:pPr>
        <w:pStyle w:val="3"/>
        <w:rPr>
          <w:rFonts w:ascii="微软雅黑" w:hAnsi="微软雅黑" w:eastAsia="微软雅黑"/>
          <w:sz w:val="30"/>
          <w:szCs w:val="30"/>
        </w:rPr>
      </w:pPr>
      <w:bookmarkStart w:id="22" w:name="_Toc526784152"/>
      <w:bookmarkStart w:id="23" w:name="_Toc516486641"/>
      <w:bookmarkStart w:id="24" w:name="_Toc533173049"/>
      <w:r>
        <w:rPr>
          <w:rFonts w:hint="eastAsia" w:ascii="微软雅黑" w:hAnsi="微软雅黑" w:eastAsia="微软雅黑"/>
          <w:sz w:val="30"/>
          <w:szCs w:val="30"/>
        </w:rPr>
        <w:t>2.4投标文件的编制</w:t>
      </w:r>
      <w:bookmarkEnd w:id="22"/>
      <w:bookmarkEnd w:id="23"/>
      <w:bookmarkEnd w:id="24"/>
    </w:p>
    <w:p>
      <w:pPr>
        <w:pStyle w:val="21"/>
        <w:widowControl/>
        <w:numPr>
          <w:ilvl w:val="0"/>
          <w:numId w:val="5"/>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投标人应仔细阅读招标文件的所有内容，严格按招标文件的要求制作并提供投标文件。</w:t>
      </w:r>
    </w:p>
    <w:p>
      <w:pPr>
        <w:pStyle w:val="21"/>
        <w:widowControl/>
        <w:numPr>
          <w:ilvl w:val="0"/>
          <w:numId w:val="5"/>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投标方应详细阅读招标文件内容，并按要求提交投标文件和资料，并保证标书及提供全部资料的真实性。如果查实提供了虚假信息，取消投标资格。</w:t>
      </w:r>
    </w:p>
    <w:p>
      <w:pPr>
        <w:numPr>
          <w:ilvl w:val="0"/>
          <w:numId w:val="5"/>
        </w:numPr>
        <w:rPr>
          <w:rFonts w:ascii="微软雅黑" w:hAnsi="微软雅黑" w:eastAsia="微软雅黑"/>
          <w:szCs w:val="21"/>
        </w:rPr>
      </w:pPr>
      <w:r>
        <w:rPr>
          <w:rFonts w:hint="eastAsia" w:ascii="微软雅黑" w:hAnsi="微软雅黑" w:eastAsia="微软雅黑"/>
          <w:szCs w:val="21"/>
        </w:rPr>
        <w:t>投标书中不得有任何擦除、修改痕迹。若确需修改错漏，须有投标文件签发人在更改处加签，否则视为无效。投标文件因字迹不清或书写错误所引起的后果由投标方承担。</w:t>
      </w:r>
    </w:p>
    <w:p>
      <w:pPr>
        <w:pStyle w:val="21"/>
        <w:widowControl/>
        <w:numPr>
          <w:ilvl w:val="0"/>
          <w:numId w:val="5"/>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投标书的正本和所有的副本均需打印，并由投标方或经正式授权并对投标方有约束力的代表签字并加盖公章。授权代表须将以书面形式出具的“授权证明”附在投标书中。</w:t>
      </w:r>
    </w:p>
    <w:p>
      <w:pPr>
        <w:pStyle w:val="21"/>
        <w:widowControl/>
        <w:numPr>
          <w:ilvl w:val="0"/>
          <w:numId w:val="5"/>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投标人向招标人提供的所有投标文件中的任何报价，（包括总价、分项价格）一律采用人民币填报。</w:t>
      </w:r>
    </w:p>
    <w:p>
      <w:pPr>
        <w:pStyle w:val="21"/>
        <w:widowControl/>
        <w:numPr>
          <w:ilvl w:val="0"/>
          <w:numId w:val="5"/>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招标人欢迎投标人可以在不引起投标误解的前提条件下，对更优于招标要求的先进技术另外做出补充说明，但招标人不承诺一定要对此说明进行评审。</w:t>
      </w:r>
    </w:p>
    <w:p>
      <w:pPr>
        <w:pStyle w:val="21"/>
        <w:widowControl/>
        <w:numPr>
          <w:ilvl w:val="0"/>
          <w:numId w:val="5"/>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投标报价表上的价格应包括合同条款上所列的各项内容的全部费用，应为履行合同的固定价格，不得以任何理由予以重复。</w:t>
      </w:r>
    </w:p>
    <w:p>
      <w:pPr>
        <w:pStyle w:val="3"/>
        <w:rPr>
          <w:rFonts w:ascii="微软雅黑" w:hAnsi="微软雅黑" w:eastAsia="微软雅黑"/>
          <w:sz w:val="30"/>
          <w:szCs w:val="30"/>
        </w:rPr>
      </w:pPr>
      <w:bookmarkStart w:id="25" w:name="_Toc526784153"/>
      <w:bookmarkStart w:id="26" w:name="_Toc516486642"/>
      <w:bookmarkStart w:id="27" w:name="_Toc533173050"/>
      <w:r>
        <w:rPr>
          <w:rFonts w:hint="eastAsia" w:ascii="微软雅黑" w:hAnsi="微软雅黑" w:eastAsia="微软雅黑"/>
          <w:sz w:val="30"/>
          <w:szCs w:val="30"/>
        </w:rPr>
        <w:t>2.5投标文件的内容</w:t>
      </w:r>
      <w:bookmarkEnd w:id="25"/>
      <w:bookmarkEnd w:id="26"/>
      <w:bookmarkEnd w:id="27"/>
    </w:p>
    <w:p>
      <w:pPr>
        <w:pStyle w:val="21"/>
        <w:widowControl/>
        <w:numPr>
          <w:ilvl w:val="1"/>
          <w:numId w:val="6"/>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投标函；</w:t>
      </w:r>
    </w:p>
    <w:p>
      <w:pPr>
        <w:pStyle w:val="21"/>
        <w:widowControl/>
        <w:numPr>
          <w:ilvl w:val="1"/>
          <w:numId w:val="6"/>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承诺书；</w:t>
      </w:r>
    </w:p>
    <w:p>
      <w:pPr>
        <w:pStyle w:val="21"/>
        <w:widowControl/>
        <w:numPr>
          <w:ilvl w:val="1"/>
          <w:numId w:val="6"/>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投标人企业信息和联络方式一览表</w:t>
      </w:r>
    </w:p>
    <w:p>
      <w:pPr>
        <w:pStyle w:val="21"/>
        <w:widowControl/>
        <w:numPr>
          <w:ilvl w:val="1"/>
          <w:numId w:val="6"/>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法定代表人证明书；</w:t>
      </w:r>
    </w:p>
    <w:p>
      <w:pPr>
        <w:pStyle w:val="21"/>
        <w:widowControl/>
        <w:numPr>
          <w:ilvl w:val="1"/>
          <w:numId w:val="6"/>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企业法人及法定代表人授权委托书，委托人、被委托人身份证复印件；</w:t>
      </w:r>
    </w:p>
    <w:p>
      <w:pPr>
        <w:pStyle w:val="21"/>
        <w:widowControl/>
        <w:numPr>
          <w:ilvl w:val="1"/>
          <w:numId w:val="6"/>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w:t>
      </w:r>
      <w:r>
        <w:rPr>
          <w:rFonts w:ascii="微软雅黑" w:hAnsi="微软雅黑" w:eastAsia="微软雅黑"/>
          <w:szCs w:val="21"/>
        </w:rPr>
        <w:t>保证金相关</w:t>
      </w:r>
      <w:r>
        <w:rPr>
          <w:rFonts w:hint="eastAsia" w:ascii="微软雅黑" w:hAnsi="微软雅黑" w:eastAsia="微软雅黑"/>
          <w:szCs w:val="21"/>
        </w:rPr>
        <w:t>凭证</w:t>
      </w:r>
      <w:r>
        <w:rPr>
          <w:rFonts w:ascii="微软雅黑" w:hAnsi="微软雅黑" w:eastAsia="微软雅黑"/>
          <w:szCs w:val="21"/>
        </w:rPr>
        <w:t>复印件；</w:t>
      </w:r>
    </w:p>
    <w:p>
      <w:pPr>
        <w:pStyle w:val="21"/>
        <w:widowControl/>
        <w:numPr>
          <w:ilvl w:val="1"/>
          <w:numId w:val="6"/>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廉政须知回执；</w:t>
      </w:r>
    </w:p>
    <w:p>
      <w:pPr>
        <w:pStyle w:val="21"/>
        <w:widowControl/>
        <w:numPr>
          <w:ilvl w:val="1"/>
          <w:numId w:val="6"/>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企业法人营业执照复印件；</w:t>
      </w:r>
    </w:p>
    <w:p>
      <w:pPr>
        <w:pStyle w:val="21"/>
        <w:widowControl/>
        <w:numPr>
          <w:ilvl w:val="1"/>
          <w:numId w:val="6"/>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开标</w:t>
      </w:r>
      <w:r>
        <w:rPr>
          <w:rFonts w:ascii="微软雅黑" w:hAnsi="微软雅黑" w:eastAsia="微软雅黑"/>
          <w:szCs w:val="21"/>
        </w:rPr>
        <w:t>一览表</w:t>
      </w:r>
      <w:r>
        <w:rPr>
          <w:rFonts w:hint="eastAsia" w:ascii="微软雅黑" w:hAnsi="微软雅黑" w:eastAsia="微软雅黑"/>
          <w:szCs w:val="21"/>
        </w:rPr>
        <w:t>；</w:t>
      </w:r>
    </w:p>
    <w:p>
      <w:pPr>
        <w:pStyle w:val="21"/>
        <w:widowControl/>
        <w:numPr>
          <w:ilvl w:val="1"/>
          <w:numId w:val="6"/>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本项目系统总体设计方案详细描述：</w:t>
      </w:r>
    </w:p>
    <w:p>
      <w:pPr>
        <w:pStyle w:val="21"/>
        <w:widowControl/>
        <w:numPr>
          <w:ilvl w:val="2"/>
          <w:numId w:val="7"/>
        </w:numPr>
        <w:spacing w:line="480" w:lineRule="auto"/>
        <w:ind w:firstLineChars="0"/>
        <w:jc w:val="left"/>
        <w:rPr>
          <w:rFonts w:ascii="微软雅黑" w:hAnsi="微软雅黑" w:eastAsia="微软雅黑"/>
          <w:szCs w:val="21"/>
        </w:rPr>
      </w:pPr>
      <w:r>
        <w:rPr>
          <w:rFonts w:hint="eastAsia" w:ascii="微软雅黑" w:hAnsi="微软雅黑" w:eastAsia="微软雅黑"/>
          <w:color w:val="000000"/>
          <w:szCs w:val="21"/>
        </w:rPr>
        <w:t>实施服务及技术支持；</w:t>
      </w:r>
    </w:p>
    <w:p>
      <w:pPr>
        <w:pStyle w:val="21"/>
        <w:widowControl/>
        <w:numPr>
          <w:ilvl w:val="2"/>
          <w:numId w:val="7"/>
        </w:numPr>
        <w:spacing w:line="480" w:lineRule="auto"/>
        <w:ind w:firstLineChars="0"/>
        <w:jc w:val="left"/>
        <w:rPr>
          <w:rFonts w:ascii="微软雅黑" w:hAnsi="微软雅黑" w:eastAsia="微软雅黑"/>
          <w:szCs w:val="21"/>
        </w:rPr>
      </w:pPr>
      <w:r>
        <w:rPr>
          <w:rFonts w:hint="eastAsia" w:ascii="微软雅黑" w:hAnsi="微软雅黑" w:eastAsia="微软雅黑"/>
          <w:color w:val="000000"/>
          <w:szCs w:val="21"/>
        </w:rPr>
        <w:t>实施计划、工期进度、项目管理；</w:t>
      </w:r>
    </w:p>
    <w:p>
      <w:pPr>
        <w:pStyle w:val="3"/>
        <w:rPr>
          <w:rFonts w:ascii="微软雅黑" w:hAnsi="微软雅黑" w:eastAsia="微软雅黑"/>
          <w:sz w:val="30"/>
          <w:szCs w:val="30"/>
        </w:rPr>
      </w:pPr>
      <w:bookmarkStart w:id="28" w:name="_Toc526784157"/>
      <w:bookmarkStart w:id="29" w:name="_Toc533173051"/>
      <w:bookmarkStart w:id="30" w:name="_Toc516486644"/>
      <w:r>
        <w:rPr>
          <w:rFonts w:hint="eastAsia" w:ascii="微软雅黑" w:hAnsi="微软雅黑" w:eastAsia="微软雅黑"/>
          <w:sz w:val="30"/>
          <w:szCs w:val="30"/>
        </w:rPr>
        <w:t>2.6投标文件的递交</w:t>
      </w:r>
      <w:bookmarkEnd w:id="28"/>
      <w:bookmarkEnd w:id="29"/>
      <w:bookmarkEnd w:id="30"/>
    </w:p>
    <w:p>
      <w:pPr>
        <w:pStyle w:val="21"/>
        <w:widowControl/>
        <w:numPr>
          <w:ilvl w:val="0"/>
          <w:numId w:val="8"/>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招标人收到投标文件时间不迟于招标文件中规定的截止时间。</w:t>
      </w:r>
    </w:p>
    <w:p>
      <w:pPr>
        <w:pStyle w:val="21"/>
        <w:widowControl/>
        <w:numPr>
          <w:ilvl w:val="0"/>
          <w:numId w:val="8"/>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招标人可以以补充通知等形式推迟投标截止日期，投标人应及时予以响应。在此情况下，投标人的所有权利和义务均应以新的截止日期为准。</w:t>
      </w:r>
    </w:p>
    <w:p>
      <w:pPr>
        <w:pStyle w:val="21"/>
        <w:widowControl/>
        <w:numPr>
          <w:ilvl w:val="0"/>
          <w:numId w:val="8"/>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投标人必须严格按照招标文件的要求编制投标文件，明显不符合要求的将被视为废标。</w:t>
      </w:r>
    </w:p>
    <w:p>
      <w:pPr>
        <w:pStyle w:val="21"/>
        <w:widowControl/>
        <w:numPr>
          <w:ilvl w:val="0"/>
          <w:numId w:val="8"/>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投标人必须按照招标文件的条件和要求及时提交投标文件，不符的将被视为未提交。</w:t>
      </w:r>
    </w:p>
    <w:p>
      <w:pPr>
        <w:pStyle w:val="21"/>
        <w:widowControl/>
        <w:numPr>
          <w:ilvl w:val="0"/>
          <w:numId w:val="8"/>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投标截止日后招标人不接受投标人实质性内容的修改。</w:t>
      </w:r>
    </w:p>
    <w:p>
      <w:pPr>
        <w:pStyle w:val="21"/>
        <w:numPr>
          <w:ilvl w:val="0"/>
          <w:numId w:val="8"/>
        </w:numPr>
        <w:spacing w:line="360" w:lineRule="exact"/>
        <w:ind w:firstLineChars="0"/>
        <w:rPr>
          <w:rFonts w:ascii="微软雅黑" w:hAnsi="微软雅黑" w:eastAsia="微软雅黑"/>
          <w:szCs w:val="21"/>
        </w:rPr>
      </w:pPr>
      <w:r>
        <w:rPr>
          <w:rFonts w:hint="eastAsia" w:ascii="微软雅黑" w:hAnsi="微软雅黑" w:eastAsia="微软雅黑"/>
          <w:szCs w:val="21"/>
          <w:highlight w:val="yellow"/>
        </w:rPr>
        <w:t>投标单位应将所有的投标文件清楚注明“正本”或“副本”，装在同一袋中密封。开标前不得开封。</w:t>
      </w:r>
    </w:p>
    <w:p>
      <w:pPr>
        <w:pStyle w:val="21"/>
        <w:spacing w:line="360" w:lineRule="exact"/>
        <w:ind w:left="420" w:firstLine="0" w:firstLineChars="0"/>
        <w:rPr>
          <w:rFonts w:ascii="微软雅黑" w:hAnsi="微软雅黑" w:eastAsia="微软雅黑"/>
          <w:szCs w:val="21"/>
        </w:rPr>
      </w:pPr>
      <w:r>
        <w:rPr>
          <w:rFonts w:hint="eastAsia" w:ascii="微软雅黑" w:hAnsi="微软雅黑" w:eastAsia="微软雅黑"/>
          <w:szCs w:val="21"/>
          <w:highlight w:val="yellow"/>
        </w:rPr>
        <w:t>投标人需在密封袋上文字注明招标人名称，投标人名称，并加盖投标人公章和法定代表人印鉴做骑缝章。密封袋上下两端应加贴密封条，确保密封袋开口和底部的严密性。加贴的密封条上下翻折的宽度4公分左右。</w:t>
      </w:r>
    </w:p>
    <w:p>
      <w:pPr>
        <w:pStyle w:val="42"/>
        <w:widowControl/>
        <w:spacing w:line="480" w:lineRule="auto"/>
        <w:ind w:left="420" w:firstLine="0" w:firstLineChars="0"/>
        <w:jc w:val="left"/>
        <w:rPr>
          <w:rFonts w:ascii="微软雅黑" w:hAnsi="微软雅黑" w:eastAsia="微软雅黑"/>
          <w:szCs w:val="21"/>
        </w:rPr>
      </w:pPr>
    </w:p>
    <w:p>
      <w:pPr>
        <w:pStyle w:val="3"/>
        <w:rPr>
          <w:rFonts w:ascii="微软雅黑" w:hAnsi="微软雅黑" w:eastAsia="微软雅黑"/>
          <w:sz w:val="30"/>
          <w:szCs w:val="30"/>
        </w:rPr>
      </w:pPr>
      <w:bookmarkStart w:id="31" w:name="_Toc526784158"/>
      <w:bookmarkStart w:id="32" w:name="_Toc516486645"/>
      <w:bookmarkStart w:id="33" w:name="_Toc533173052"/>
      <w:r>
        <w:rPr>
          <w:rFonts w:hint="eastAsia" w:ascii="微软雅黑" w:hAnsi="微软雅黑" w:eastAsia="微软雅黑"/>
          <w:sz w:val="30"/>
          <w:szCs w:val="30"/>
        </w:rPr>
        <w:t>2.7开标与评标</w:t>
      </w:r>
      <w:bookmarkEnd w:id="31"/>
      <w:bookmarkEnd w:id="32"/>
      <w:bookmarkEnd w:id="33"/>
    </w:p>
    <w:p>
      <w:pPr>
        <w:pStyle w:val="21"/>
        <w:widowControl/>
        <w:numPr>
          <w:ilvl w:val="0"/>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开标</w:t>
      </w:r>
    </w:p>
    <w:p>
      <w:pPr>
        <w:pStyle w:val="21"/>
        <w:widowControl/>
        <w:numPr>
          <w:ilvl w:val="1"/>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招标人将自行组建评标小组对投标书进行开标；</w:t>
      </w:r>
    </w:p>
    <w:p>
      <w:pPr>
        <w:pStyle w:val="21"/>
        <w:widowControl/>
        <w:numPr>
          <w:ilvl w:val="1"/>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有下列情况之一者，作废标处理：</w:t>
      </w:r>
    </w:p>
    <w:p>
      <w:pPr>
        <w:pStyle w:val="21"/>
        <w:widowControl/>
        <w:numPr>
          <w:ilvl w:val="2"/>
          <w:numId w:val="10"/>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投标人不具备投标资格的；</w:t>
      </w:r>
    </w:p>
    <w:p>
      <w:pPr>
        <w:pStyle w:val="21"/>
        <w:widowControl/>
        <w:numPr>
          <w:ilvl w:val="2"/>
          <w:numId w:val="10"/>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没有报价的；</w:t>
      </w:r>
    </w:p>
    <w:p>
      <w:pPr>
        <w:pStyle w:val="21"/>
        <w:widowControl/>
        <w:numPr>
          <w:ilvl w:val="2"/>
          <w:numId w:val="10"/>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投标书未加盖本单位公章及法定代表人未签字或盖章的（复印件无效）；</w:t>
      </w:r>
    </w:p>
    <w:p>
      <w:pPr>
        <w:pStyle w:val="21"/>
        <w:widowControl/>
        <w:numPr>
          <w:ilvl w:val="2"/>
          <w:numId w:val="10"/>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投标书未按规定的格式、内容和要求填写的；</w:t>
      </w:r>
    </w:p>
    <w:p>
      <w:pPr>
        <w:pStyle w:val="21"/>
        <w:widowControl/>
        <w:numPr>
          <w:ilvl w:val="2"/>
          <w:numId w:val="10"/>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保证金没能在规定日期前到账的；</w:t>
      </w:r>
    </w:p>
    <w:p>
      <w:pPr>
        <w:pStyle w:val="21"/>
        <w:widowControl/>
        <w:numPr>
          <w:ilvl w:val="2"/>
          <w:numId w:val="10"/>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投标书写潦草、字迹模糊不清难以辨认的；</w:t>
      </w:r>
    </w:p>
    <w:p>
      <w:pPr>
        <w:pStyle w:val="21"/>
        <w:widowControl/>
        <w:numPr>
          <w:ilvl w:val="2"/>
          <w:numId w:val="10"/>
        </w:numPr>
        <w:spacing w:line="480" w:lineRule="auto"/>
        <w:ind w:firstLineChars="0"/>
        <w:jc w:val="left"/>
        <w:rPr>
          <w:rFonts w:ascii="微软雅黑" w:hAnsi="微软雅黑" w:eastAsia="微软雅黑"/>
          <w:color w:val="FF0000"/>
          <w:szCs w:val="21"/>
        </w:rPr>
      </w:pPr>
      <w:r>
        <w:rPr>
          <w:rFonts w:hint="eastAsia" w:ascii="微软雅黑" w:hAnsi="微软雅黑" w:eastAsia="微软雅黑"/>
          <w:szCs w:val="21"/>
        </w:rPr>
        <w:t>没有法人资格证明和法定代表人身份证明或法定代表授权人身份证件的。</w:t>
      </w:r>
    </w:p>
    <w:p>
      <w:pPr>
        <w:pStyle w:val="21"/>
        <w:widowControl/>
        <w:numPr>
          <w:ilvl w:val="0"/>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评标方法及标准</w:t>
      </w:r>
    </w:p>
    <w:p>
      <w:pPr>
        <w:pStyle w:val="21"/>
        <w:widowControl/>
        <w:numPr>
          <w:ilvl w:val="0"/>
          <w:numId w:val="11"/>
        </w:numPr>
        <w:spacing w:line="480" w:lineRule="auto"/>
        <w:ind w:firstLine="630" w:firstLineChars="300"/>
        <w:jc w:val="left"/>
        <w:rPr>
          <w:rFonts w:ascii="微软雅黑" w:hAnsi="微软雅黑" w:eastAsia="微软雅黑"/>
          <w:color w:val="FF0000"/>
          <w:szCs w:val="21"/>
        </w:rPr>
      </w:pPr>
      <w:r>
        <w:rPr>
          <w:rFonts w:hint="eastAsia" w:ascii="微软雅黑" w:hAnsi="微软雅黑" w:eastAsia="微软雅黑"/>
          <w:color w:val="FF0000"/>
          <w:szCs w:val="21"/>
        </w:rPr>
        <w:t>本次中标原则遵循低价中标原则。</w:t>
      </w:r>
    </w:p>
    <w:p>
      <w:pPr>
        <w:pStyle w:val="21"/>
        <w:widowControl/>
        <w:numPr>
          <w:ilvl w:val="0"/>
          <w:numId w:val="11"/>
        </w:numPr>
        <w:spacing w:line="480" w:lineRule="auto"/>
        <w:ind w:firstLine="630" w:firstLineChars="300"/>
        <w:jc w:val="left"/>
        <w:rPr>
          <w:rFonts w:ascii="微软雅黑" w:hAnsi="微软雅黑" w:eastAsia="微软雅黑"/>
          <w:color w:val="FF0000"/>
          <w:szCs w:val="21"/>
        </w:rPr>
      </w:pPr>
      <w:r>
        <w:rPr>
          <w:rFonts w:hint="eastAsia" w:ascii="微软雅黑" w:hAnsi="微软雅黑" w:eastAsia="微软雅黑"/>
          <w:color w:val="FF0000"/>
          <w:szCs w:val="21"/>
        </w:rPr>
        <w:t>报价应结合现场实际情况，综合全面考虑施工中可能出现的问题情况，机房项目后续施工不得产生任何增项费用。</w:t>
      </w:r>
    </w:p>
    <w:p>
      <w:pPr>
        <w:pStyle w:val="21"/>
        <w:widowControl/>
        <w:numPr>
          <w:ilvl w:val="0"/>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评标过程保密</w:t>
      </w:r>
    </w:p>
    <w:p>
      <w:pPr>
        <w:pStyle w:val="21"/>
        <w:widowControl/>
        <w:numPr>
          <w:ilvl w:val="1"/>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在宣布中标人之前，凡属于审查、澄清、评价、比较投标文件和中标意向等有关信息，均不得泄露给任何投标人或与评标工作无关的人员。</w:t>
      </w:r>
    </w:p>
    <w:p>
      <w:pPr>
        <w:pStyle w:val="21"/>
        <w:widowControl/>
        <w:numPr>
          <w:ilvl w:val="1"/>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投标人不得探听上述信息，不得以任何行为影响评标过程，否则将被废标。</w:t>
      </w:r>
    </w:p>
    <w:p>
      <w:pPr>
        <w:pStyle w:val="21"/>
        <w:widowControl/>
        <w:numPr>
          <w:ilvl w:val="1"/>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在评标期间，招标人将指定联络人与投标人进行联络。</w:t>
      </w:r>
    </w:p>
    <w:p>
      <w:pPr>
        <w:pStyle w:val="3"/>
        <w:rPr>
          <w:rFonts w:ascii="微软雅黑" w:hAnsi="微软雅黑" w:eastAsia="微软雅黑"/>
          <w:sz w:val="30"/>
          <w:szCs w:val="30"/>
        </w:rPr>
      </w:pPr>
      <w:bookmarkStart w:id="34" w:name="_Toc516486646"/>
      <w:bookmarkStart w:id="35" w:name="_Toc526784159"/>
      <w:bookmarkStart w:id="36" w:name="_Toc533173053"/>
      <w:r>
        <w:rPr>
          <w:rFonts w:hint="eastAsia" w:ascii="微软雅黑" w:hAnsi="微软雅黑" w:eastAsia="微软雅黑"/>
          <w:sz w:val="30"/>
          <w:szCs w:val="30"/>
        </w:rPr>
        <w:t>2.8授标及签约</w:t>
      </w:r>
      <w:bookmarkEnd w:id="34"/>
      <w:bookmarkEnd w:id="35"/>
      <w:bookmarkEnd w:id="36"/>
    </w:p>
    <w:p>
      <w:pPr>
        <w:pStyle w:val="21"/>
        <w:widowControl/>
        <w:numPr>
          <w:ilvl w:val="0"/>
          <w:numId w:val="1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招标人有选择中标人和拒绝任何投标的权利</w:t>
      </w:r>
    </w:p>
    <w:p>
      <w:pPr>
        <w:pStyle w:val="21"/>
        <w:widowControl/>
        <w:spacing w:line="480" w:lineRule="auto"/>
        <w:ind w:left="420" w:firstLine="0" w:firstLineChars="0"/>
        <w:jc w:val="left"/>
        <w:rPr>
          <w:rFonts w:ascii="微软雅黑" w:hAnsi="微软雅黑" w:eastAsia="微软雅黑"/>
          <w:szCs w:val="21"/>
        </w:rPr>
      </w:pPr>
      <w:r>
        <w:rPr>
          <w:rFonts w:hint="eastAsia" w:ascii="微软雅黑" w:hAnsi="微软雅黑" w:eastAsia="微软雅黑"/>
          <w:szCs w:val="21"/>
        </w:rPr>
        <w:t>招标人保留在授标之前，根据评标小组的评审意见，有权选择中标人或否决全部投标，并无向投标人解释的义务。</w:t>
      </w:r>
    </w:p>
    <w:p>
      <w:pPr>
        <w:pStyle w:val="21"/>
        <w:widowControl/>
        <w:numPr>
          <w:ilvl w:val="0"/>
          <w:numId w:val="1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签订合同</w:t>
      </w:r>
    </w:p>
    <w:p>
      <w:pPr>
        <w:pStyle w:val="21"/>
        <w:widowControl/>
        <w:spacing w:line="480" w:lineRule="auto"/>
        <w:ind w:left="420" w:leftChars="200" w:firstLine="0" w:firstLineChars="0"/>
        <w:jc w:val="left"/>
        <w:rPr>
          <w:rFonts w:ascii="微软雅黑" w:hAnsi="微软雅黑" w:eastAsia="微软雅黑"/>
          <w:szCs w:val="21"/>
        </w:rPr>
      </w:pPr>
      <w:r>
        <w:rPr>
          <w:rFonts w:hint="eastAsia" w:ascii="微软雅黑" w:hAnsi="微软雅黑" w:eastAsia="微软雅黑"/>
          <w:szCs w:val="21"/>
        </w:rPr>
        <w:t>中标人必须在自收到中标通知后，于通知要求期限内按照招标文件的规定和投标文件的承诺等与招标人签订合同。</w:t>
      </w:r>
    </w:p>
    <w:p>
      <w:pPr>
        <w:pStyle w:val="21"/>
        <w:widowControl/>
        <w:numPr>
          <w:ilvl w:val="0"/>
          <w:numId w:val="12"/>
        </w:numPr>
        <w:spacing w:line="480" w:lineRule="auto"/>
        <w:ind w:firstLineChars="0"/>
        <w:jc w:val="left"/>
        <w:rPr>
          <w:rFonts w:ascii="微软雅黑" w:hAnsi="微软雅黑" w:eastAsia="微软雅黑"/>
          <w:szCs w:val="21"/>
        </w:rPr>
      </w:pPr>
      <w:r>
        <w:rPr>
          <w:rStyle w:val="22"/>
          <w:rFonts w:hint="eastAsia" w:ascii="微软雅黑" w:hAnsi="微软雅黑" w:eastAsia="微软雅黑"/>
        </w:rPr>
        <w:t>到货日期</w:t>
      </w:r>
      <w:r>
        <w:rPr>
          <w:rFonts w:hint="eastAsia" w:ascii="微软雅黑" w:hAnsi="微软雅黑" w:eastAsia="微软雅黑"/>
          <w:szCs w:val="21"/>
        </w:rPr>
        <w:t>：以合同为准。</w:t>
      </w:r>
    </w:p>
    <w:p>
      <w:pPr>
        <w:pStyle w:val="21"/>
        <w:numPr>
          <w:ilvl w:val="0"/>
          <w:numId w:val="12"/>
        </w:numPr>
        <w:ind w:firstLineChars="0"/>
        <w:rPr>
          <w:rFonts w:ascii="微软雅黑" w:hAnsi="微软雅黑" w:eastAsia="微软雅黑"/>
          <w:szCs w:val="21"/>
        </w:rPr>
      </w:pPr>
      <w:r>
        <w:rPr>
          <w:rFonts w:hint="eastAsia" w:ascii="微软雅黑" w:hAnsi="微软雅黑" w:eastAsia="微软雅黑"/>
          <w:szCs w:val="21"/>
        </w:rPr>
        <w:t>产品验收：项目完工后一个月内由招标方组织验收。</w:t>
      </w:r>
    </w:p>
    <w:p>
      <w:pPr>
        <w:rPr>
          <w:rFonts w:ascii="微软雅黑" w:hAnsi="微软雅黑" w:eastAsia="微软雅黑"/>
          <w:szCs w:val="21"/>
        </w:rPr>
      </w:pPr>
      <w:r>
        <w:rPr>
          <w:rFonts w:hint="eastAsia" w:ascii="微软雅黑" w:hAnsi="微软雅黑" w:eastAsia="微软雅黑"/>
          <w:szCs w:val="21"/>
        </w:rPr>
        <w:t>E.  付款方式：竣工验收合格后付总款的90%；预留10％质保金一年满后付清尾款。</w:t>
      </w:r>
    </w:p>
    <w:p>
      <w:pPr>
        <w:pStyle w:val="3"/>
        <w:rPr>
          <w:rFonts w:ascii="微软雅黑" w:hAnsi="微软雅黑" w:eastAsia="微软雅黑"/>
        </w:rPr>
      </w:pPr>
      <w:bookmarkStart w:id="37" w:name="_Toc526784160"/>
      <w:bookmarkStart w:id="38" w:name="_Toc533173054"/>
      <w:bookmarkStart w:id="39" w:name="_Toc516486647"/>
      <w:r>
        <w:rPr>
          <w:rFonts w:hint="eastAsia" w:ascii="微软雅黑" w:hAnsi="微软雅黑" w:eastAsia="微软雅黑"/>
        </w:rPr>
        <w:t>2.9投标保证金</w:t>
      </w:r>
      <w:bookmarkEnd w:id="37"/>
      <w:bookmarkEnd w:id="38"/>
      <w:bookmarkEnd w:id="39"/>
    </w:p>
    <w:p>
      <w:pPr>
        <w:pStyle w:val="21"/>
        <w:widowControl/>
        <w:numPr>
          <w:ilvl w:val="0"/>
          <w:numId w:val="13"/>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投标保证金的收取</w:t>
      </w:r>
    </w:p>
    <w:p>
      <w:pPr>
        <w:pStyle w:val="21"/>
        <w:widowControl/>
        <w:numPr>
          <w:ilvl w:val="0"/>
          <w:numId w:val="13"/>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投标保证金为人民币</w:t>
      </w:r>
      <w:r>
        <w:rPr>
          <w:rFonts w:ascii="微软雅黑" w:hAnsi="微软雅黑" w:eastAsia="微软雅黑"/>
          <w:szCs w:val="21"/>
          <w:u w:val="single"/>
        </w:rPr>
        <w:t>10000</w:t>
      </w:r>
      <w:r>
        <w:rPr>
          <w:rFonts w:hint="eastAsia" w:ascii="微软雅黑" w:hAnsi="微软雅黑" w:eastAsia="微软雅黑"/>
          <w:szCs w:val="21"/>
          <w:u w:val="single"/>
        </w:rPr>
        <w:t>元 （大写:壹万元整）</w:t>
      </w:r>
    </w:p>
    <w:p>
      <w:pPr>
        <w:pStyle w:val="21"/>
        <w:widowControl/>
        <w:numPr>
          <w:ilvl w:val="0"/>
          <w:numId w:val="13"/>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投标保证金缴纳的形式为汇款形式。</w:t>
      </w:r>
    </w:p>
    <w:p>
      <w:pPr>
        <w:pStyle w:val="21"/>
        <w:widowControl/>
        <w:numPr>
          <w:ilvl w:val="0"/>
          <w:numId w:val="13"/>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投标保证金的退还</w:t>
      </w:r>
    </w:p>
    <w:p>
      <w:pPr>
        <w:pStyle w:val="21"/>
        <w:widowControl/>
        <w:numPr>
          <w:ilvl w:val="1"/>
          <w:numId w:val="13"/>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招标人授标后</w:t>
      </w:r>
      <w:r>
        <w:rPr>
          <w:rFonts w:hint="eastAsia" w:ascii="微软雅黑" w:hAnsi="微软雅黑" w:eastAsia="微软雅黑"/>
          <w:szCs w:val="21"/>
          <w:u w:val="single"/>
        </w:rPr>
        <w:t>20</w:t>
      </w:r>
      <w:r>
        <w:rPr>
          <w:rFonts w:hint="eastAsia" w:ascii="微软雅黑" w:hAnsi="微软雅黑" w:eastAsia="微软雅黑"/>
          <w:szCs w:val="21"/>
        </w:rPr>
        <w:t>个工作日内，向未中标的投标人退还投标保证金，但不计利息。</w:t>
      </w:r>
    </w:p>
    <w:p>
      <w:pPr>
        <w:pStyle w:val="21"/>
        <w:widowControl/>
        <w:numPr>
          <w:ilvl w:val="1"/>
          <w:numId w:val="13"/>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中标人与招标人签订合同后，投标保证金随首付款退还，但不计利息。</w:t>
      </w:r>
    </w:p>
    <w:p>
      <w:pPr>
        <w:pStyle w:val="21"/>
        <w:widowControl/>
        <w:numPr>
          <w:ilvl w:val="0"/>
          <w:numId w:val="13"/>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投标保证金的没收</w:t>
      </w:r>
    </w:p>
    <w:p>
      <w:pPr>
        <w:pStyle w:val="21"/>
        <w:widowControl/>
        <w:numPr>
          <w:ilvl w:val="1"/>
          <w:numId w:val="13"/>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投标人在投标文件有效期内撤回其投标文件。</w:t>
      </w:r>
    </w:p>
    <w:p>
      <w:pPr>
        <w:pStyle w:val="21"/>
        <w:widowControl/>
        <w:numPr>
          <w:ilvl w:val="1"/>
          <w:numId w:val="13"/>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中标人未能在规定期限内签署合同。</w:t>
      </w:r>
    </w:p>
    <w:p>
      <w:pPr>
        <w:pStyle w:val="21"/>
        <w:widowControl/>
        <w:numPr>
          <w:ilvl w:val="1"/>
          <w:numId w:val="13"/>
        </w:numPr>
        <w:spacing w:line="480" w:lineRule="auto"/>
        <w:ind w:firstLineChars="0"/>
        <w:jc w:val="left"/>
        <w:rPr>
          <w:rFonts w:ascii="微软雅黑" w:hAnsi="微软雅黑" w:eastAsia="微软雅黑"/>
          <w:szCs w:val="21"/>
        </w:rPr>
      </w:pPr>
      <w:r>
        <w:rPr>
          <w:rFonts w:ascii="微软雅黑" w:hAnsi="微软雅黑" w:eastAsia="微软雅黑"/>
          <w:szCs w:val="21"/>
        </w:rPr>
        <w:t>投标单位恶意串标或向评标人员行贿等手段影响评标公正性的</w:t>
      </w:r>
      <w:r>
        <w:rPr>
          <w:rFonts w:hint="eastAsia" w:ascii="微软雅黑" w:hAnsi="微软雅黑" w:eastAsia="微软雅黑"/>
          <w:szCs w:val="21"/>
        </w:rPr>
        <w:t>。</w:t>
      </w:r>
      <w:bookmarkStart w:id="40" w:name="_Toc516486648"/>
    </w:p>
    <w:p>
      <w:pPr>
        <w:pStyle w:val="2"/>
        <w:rPr>
          <w:rFonts w:ascii="微软雅黑" w:hAnsi="微软雅黑" w:eastAsia="微软雅黑"/>
          <w:sz w:val="32"/>
          <w:szCs w:val="32"/>
        </w:rPr>
      </w:pPr>
      <w:bookmarkStart w:id="41" w:name="_Toc526784161"/>
      <w:bookmarkStart w:id="42" w:name="_Toc533173055"/>
      <w:r>
        <w:rPr>
          <w:rFonts w:hint="eastAsia" w:ascii="微软雅黑" w:hAnsi="微软雅黑" w:eastAsia="微软雅黑"/>
          <w:sz w:val="32"/>
          <w:szCs w:val="32"/>
        </w:rPr>
        <w:t>3.</w:t>
      </w:r>
      <w:bookmarkEnd w:id="40"/>
      <w:bookmarkEnd w:id="41"/>
      <w:r>
        <w:rPr>
          <w:rFonts w:hint="eastAsia" w:ascii="微软雅黑" w:hAnsi="微软雅黑" w:eastAsia="微软雅黑"/>
          <w:sz w:val="32"/>
          <w:szCs w:val="32"/>
        </w:rPr>
        <w:t>招标要求</w:t>
      </w:r>
      <w:bookmarkEnd w:id="42"/>
    </w:p>
    <w:p>
      <w:pPr>
        <w:pStyle w:val="3"/>
        <w:rPr>
          <w:rFonts w:ascii="微软雅黑" w:hAnsi="微软雅黑" w:eastAsia="微软雅黑"/>
          <w:sz w:val="30"/>
          <w:szCs w:val="30"/>
        </w:rPr>
      </w:pPr>
      <w:bookmarkStart w:id="43" w:name="_Toc526784163"/>
      <w:bookmarkStart w:id="44" w:name="_Toc516486650"/>
      <w:bookmarkStart w:id="45" w:name="_Toc533173056"/>
      <w:r>
        <w:rPr>
          <w:rFonts w:hint="eastAsia" w:ascii="微软雅黑" w:hAnsi="微软雅黑" w:eastAsia="微软雅黑"/>
          <w:sz w:val="30"/>
          <w:szCs w:val="30"/>
        </w:rPr>
        <w:t>3.1北国汇新城信息机房项目简介</w:t>
      </w:r>
      <w:bookmarkEnd w:id="43"/>
      <w:bookmarkEnd w:id="44"/>
      <w:bookmarkEnd w:id="45"/>
    </w:p>
    <w:p>
      <w:pPr>
        <w:autoSpaceDE w:val="0"/>
        <w:autoSpaceDN w:val="0"/>
        <w:adjustRightInd w:val="0"/>
        <w:spacing w:line="480" w:lineRule="auto"/>
        <w:ind w:firstLine="525" w:firstLineChars="250"/>
        <w:jc w:val="left"/>
        <w:rPr>
          <w:rFonts w:ascii="微软雅黑" w:hAnsi="微软雅黑" w:eastAsia="微软雅黑"/>
          <w:szCs w:val="21"/>
        </w:rPr>
      </w:pPr>
      <w:r>
        <w:rPr>
          <w:rFonts w:hint="eastAsia" w:ascii="微软雅黑" w:hAnsi="微软雅黑" w:eastAsia="微软雅黑"/>
          <w:szCs w:val="21"/>
        </w:rPr>
        <w:t>北国汇新城信息机房项目位于石家庄中华南大街与汇新路交口西行约200米，机房地理位置位于商城5楼，占地约165m²，规划为北国汇新城的数据中心，主要为百货业态、超市业态、电器业态提供专线网络和数据交互。</w:t>
      </w:r>
    </w:p>
    <w:p>
      <w:pPr>
        <w:pStyle w:val="2"/>
        <w:spacing w:line="0" w:lineRule="atLeast"/>
        <w:rPr>
          <w:rFonts w:ascii="微软雅黑" w:hAnsi="微软雅黑" w:eastAsia="微软雅黑"/>
          <w:sz w:val="32"/>
          <w:szCs w:val="32"/>
        </w:rPr>
      </w:pPr>
      <w:bookmarkStart w:id="46" w:name="_Toc516486655"/>
      <w:bookmarkStart w:id="47" w:name="_Toc526784168"/>
      <w:bookmarkStart w:id="48" w:name="_Toc533173057"/>
      <w:r>
        <w:rPr>
          <w:rFonts w:hint="eastAsia" w:ascii="微软雅黑" w:hAnsi="微软雅黑" w:eastAsia="微软雅黑"/>
          <w:sz w:val="30"/>
          <w:szCs w:val="30"/>
        </w:rPr>
        <w:t>3</w:t>
      </w:r>
      <w:bookmarkEnd w:id="46"/>
      <w:bookmarkEnd w:id="47"/>
      <w:r>
        <w:rPr>
          <w:rFonts w:hint="eastAsia" w:ascii="微软雅黑" w:hAnsi="微软雅黑" w:eastAsia="微软雅黑"/>
          <w:sz w:val="30"/>
          <w:szCs w:val="30"/>
        </w:rPr>
        <w:t>.2</w:t>
      </w:r>
      <w:r>
        <w:rPr>
          <w:rFonts w:hint="eastAsia" w:ascii="微软雅黑" w:hAnsi="微软雅黑" w:eastAsia="微软雅黑"/>
          <w:sz w:val="32"/>
          <w:szCs w:val="32"/>
        </w:rPr>
        <w:t>建设要求</w:t>
      </w:r>
      <w:bookmarkEnd w:id="48"/>
    </w:p>
    <w:p>
      <w:pPr>
        <w:ind w:firstLine="480"/>
        <w:rPr>
          <w:rFonts w:ascii="微软雅黑" w:hAnsi="微软雅黑" w:eastAsia="微软雅黑"/>
          <w:color w:val="FF0000"/>
          <w:szCs w:val="21"/>
        </w:rPr>
      </w:pPr>
      <w:r>
        <w:rPr>
          <w:rFonts w:hint="eastAsia" w:ascii="微软雅黑" w:hAnsi="微软雅黑" w:eastAsia="微软雅黑"/>
          <w:szCs w:val="21"/>
        </w:rPr>
        <w:t>北国汇新城机房作为支撑整个商城信息系统运作的重要功能环节，需要按照国家B类机房建设标准进行筹建，</w:t>
      </w:r>
      <w:r>
        <w:rPr>
          <w:rFonts w:hint="eastAsia" w:ascii="微软雅黑" w:hAnsi="微软雅黑" w:eastAsia="微软雅黑"/>
          <w:color w:val="FF0000"/>
          <w:szCs w:val="21"/>
        </w:rPr>
        <w:t>施工单位必须按照以下建设要求进行建设，也需要综合考量，按照北国汇新城</w:t>
      </w:r>
      <w:r>
        <w:rPr>
          <w:rFonts w:hint="eastAsia" w:ascii="微软雅黑" w:hAnsi="微软雅黑" w:eastAsia="微软雅黑" w:cstheme="minorEastAsia"/>
          <w:color w:val="FF0000"/>
          <w:szCs w:val="21"/>
        </w:rPr>
        <w:t>“一次规划、分期建设”总体布局，</w:t>
      </w:r>
      <w:r>
        <w:rPr>
          <w:rFonts w:hint="eastAsia" w:ascii="微软雅黑" w:hAnsi="微软雅黑" w:eastAsia="微软雅黑" w:cstheme="minorEastAsia"/>
          <w:color w:val="000000"/>
          <w:szCs w:val="21"/>
        </w:rPr>
        <w:t>在建设机房和设备布局时需要考虑到机房</w:t>
      </w:r>
      <w:r>
        <w:rPr>
          <w:rFonts w:hint="eastAsia" w:ascii="微软雅黑" w:hAnsi="微软雅黑" w:eastAsia="微软雅黑"/>
          <w:szCs w:val="21"/>
        </w:rPr>
        <w:t>安全可靠的正常运行，延长计算机系统使用寿命，在能够满足设备</w:t>
      </w:r>
      <w:r>
        <w:rPr>
          <w:rFonts w:ascii="微软雅黑" w:hAnsi="微软雅黑" w:eastAsia="微软雅黑"/>
          <w:szCs w:val="21"/>
        </w:rPr>
        <w:t>对温度、湿度、洁净度、电磁场强度、噪音干扰、防漏、电源质量、振动、防雷和接地等要求</w:t>
      </w:r>
      <w:r>
        <w:rPr>
          <w:rFonts w:hint="eastAsia" w:ascii="微软雅黑" w:hAnsi="微软雅黑" w:eastAsia="微软雅黑"/>
          <w:szCs w:val="21"/>
        </w:rPr>
        <w:t>的同时还能够根</w:t>
      </w:r>
      <w:r>
        <w:rPr>
          <w:rFonts w:hint="eastAsia" w:ascii="微软雅黑" w:hAnsi="微软雅黑" w:eastAsia="微软雅黑"/>
          <w:color w:val="FF0000"/>
          <w:szCs w:val="21"/>
        </w:rPr>
        <w:t>据分步实施的规划预留有充分的</w:t>
      </w:r>
      <w:r>
        <w:rPr>
          <w:rFonts w:ascii="微软雅黑" w:hAnsi="微软雅黑" w:eastAsia="微软雅黑"/>
          <w:color w:val="FF0000"/>
          <w:szCs w:val="21"/>
        </w:rPr>
        <w:t>可扩充性</w:t>
      </w:r>
      <w:r>
        <w:rPr>
          <w:rFonts w:hint="eastAsia" w:ascii="微软雅黑" w:hAnsi="微软雅黑" w:eastAsia="微软雅黑"/>
          <w:color w:val="FF0000"/>
          <w:szCs w:val="21"/>
        </w:rPr>
        <w:t>设备以便于后期项目的接入</w:t>
      </w:r>
      <w:r>
        <w:rPr>
          <w:rFonts w:ascii="微软雅黑" w:hAnsi="微软雅黑" w:eastAsia="微软雅黑"/>
          <w:color w:val="FF0000"/>
          <w:szCs w:val="21"/>
        </w:rPr>
        <w:t>。</w:t>
      </w:r>
    </w:p>
    <w:p>
      <w:pPr>
        <w:ind w:firstLine="420" w:firstLineChars="200"/>
        <w:rPr>
          <w:rFonts w:ascii="微软雅黑" w:hAnsi="微软雅黑" w:eastAsia="微软雅黑"/>
          <w:color w:val="000000"/>
          <w:szCs w:val="21"/>
        </w:rPr>
      </w:pPr>
      <w:r>
        <w:rPr>
          <w:rFonts w:hint="eastAsia" w:ascii="微软雅黑" w:hAnsi="微软雅黑" w:eastAsia="微软雅黑"/>
          <w:szCs w:val="21"/>
        </w:rPr>
        <w:t>信息机房的位置位于商城五层西侧北面中段位置，房屋占地面积约165</w:t>
      </w:r>
      <w:r>
        <w:rPr>
          <w:rFonts w:hint="eastAsia" w:ascii="微软雅黑" w:hAnsi="宋体" w:cs="宋体"/>
          <w:szCs w:val="21"/>
        </w:rPr>
        <w:t>㎡</w:t>
      </w:r>
      <w:r>
        <w:rPr>
          <w:rFonts w:hint="eastAsia" w:ascii="微软雅黑" w:hAnsi="微软雅黑" w:eastAsia="微软雅黑" w:cs="宋体"/>
          <w:szCs w:val="21"/>
        </w:rPr>
        <w:t>，按照信息机房要求机房内需要部署</w:t>
      </w:r>
      <w:r>
        <w:rPr>
          <w:rFonts w:hint="eastAsia" w:ascii="微软雅黑" w:hAnsi="微软雅黑" w:eastAsia="微软雅黑" w:cs="宋体"/>
          <w:color w:val="000000"/>
          <w:kern w:val="0"/>
          <w:szCs w:val="21"/>
        </w:rPr>
        <w:t>2000*600*1200网络机柜三个，分别运用在核心交换机（含备机）、防火墙、后期可扩展设备；</w:t>
      </w:r>
      <w:r>
        <w:rPr>
          <w:rStyle w:val="33"/>
          <w:rFonts w:hint="eastAsia" w:ascii="微软雅黑" w:hAnsi="微软雅黑" w:eastAsia="微软雅黑"/>
          <w:sz w:val="21"/>
          <w:szCs w:val="21"/>
        </w:rPr>
        <w:t>机房设计3级防雷、综合接地系统，中心机房需做等电位连接；</w:t>
      </w:r>
      <w:r>
        <w:rPr>
          <w:rFonts w:hint="eastAsia" w:ascii="微软雅黑" w:hAnsi="微软雅黑" w:eastAsia="微软雅黑"/>
          <w:szCs w:val="21"/>
        </w:rPr>
        <w:t>数据中心机房由于机房的特殊性需要气体灭火装置，不能喷水，只能是气体灭火，确保机房设备安全，并设有烟雾和温度报警设施；机房的动力、辅助电源及市电照明部分的供电由动力配电柜负责，动力配电柜负责机房空调设备、机房辅助插座、机房照明的供电；机房内根据面积至少设置两台12KW 5匹机房精密空调；机房内需要部署环境监控系统，包括：</w:t>
      </w:r>
      <w:r>
        <w:rPr>
          <w:rFonts w:hint="eastAsia" w:ascii="微软雅黑" w:hAnsi="微软雅黑" w:eastAsia="微软雅黑"/>
          <w:color w:val="000000"/>
          <w:szCs w:val="21"/>
        </w:rPr>
        <w:t>空调监控、漏水监控、温湿度监控、ESDS烟雾检测预警系统、机柜检测预警系统。以上是对信息机房需求的描述。以下将分类对个各项进行讲解。</w:t>
      </w:r>
    </w:p>
    <w:p>
      <w:pPr>
        <w:ind w:firstLine="420" w:firstLineChars="200"/>
        <w:rPr>
          <w:rFonts w:ascii="微软雅黑" w:hAnsi="微软雅黑" w:eastAsia="微软雅黑"/>
          <w:szCs w:val="21"/>
        </w:rPr>
      </w:pPr>
      <w:r>
        <w:rPr>
          <w:rFonts w:hint="eastAsia" w:ascii="微软雅黑" w:hAnsi="微软雅黑" w:eastAsia="微软雅黑"/>
          <w:szCs w:val="21"/>
        </w:rPr>
        <w:drawing>
          <wp:inline distT="0" distB="0" distL="0" distR="0">
            <wp:extent cx="3177540" cy="5841365"/>
            <wp:effectExtent l="0" t="0" r="6985" b="3810"/>
            <wp:docPr id="1" name="图片 2" descr="C:\Users\信息处核心计算机\Desktop\1.jpg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C:\Users\信息处核心计算机\Desktop\1.jpg1"/>
                    <pic:cNvPicPr>
                      <a:picLocks noChangeAspect="1"/>
                    </pic:cNvPicPr>
                  </pic:nvPicPr>
                  <pic:blipFill>
                    <a:blip r:embed="rId4"/>
                    <a:srcRect/>
                    <a:stretch>
                      <a:fillRect/>
                    </a:stretch>
                  </pic:blipFill>
                  <pic:spPr>
                    <a:xfrm rot="16200000">
                      <a:off x="0" y="0"/>
                      <a:ext cx="3177540" cy="5841365"/>
                    </a:xfrm>
                    <a:prstGeom prst="rect">
                      <a:avLst/>
                    </a:prstGeom>
                  </pic:spPr>
                </pic:pic>
              </a:graphicData>
            </a:graphic>
          </wp:inline>
        </w:drawing>
      </w:r>
    </w:p>
    <w:p>
      <w:pPr>
        <w:ind w:firstLine="420" w:firstLineChars="200"/>
        <w:rPr>
          <w:rFonts w:ascii="微软雅黑" w:hAnsi="微软雅黑" w:eastAsia="微软雅黑"/>
          <w:szCs w:val="21"/>
        </w:rPr>
      </w:pPr>
      <w:r>
        <w:rPr>
          <w:rFonts w:hint="eastAsia" w:ascii="微软雅黑" w:hAnsi="微软雅黑" w:eastAsia="微软雅黑"/>
          <w:szCs w:val="21"/>
        </w:rPr>
        <w:drawing>
          <wp:inline distT="0" distB="0" distL="114300" distR="114300">
            <wp:extent cx="6186170" cy="2734945"/>
            <wp:effectExtent l="0" t="0" r="5080" b="8255"/>
            <wp:docPr id="3" name="图片 3" descr="机房图纸-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机房图纸-1"/>
                    <pic:cNvPicPr>
                      <a:picLocks noChangeAspect="1"/>
                    </pic:cNvPicPr>
                  </pic:nvPicPr>
                  <pic:blipFill>
                    <a:blip r:embed="rId5"/>
                    <a:srcRect t="35614"/>
                    <a:stretch>
                      <a:fillRect/>
                    </a:stretch>
                  </pic:blipFill>
                  <pic:spPr>
                    <a:xfrm>
                      <a:off x="0" y="0"/>
                      <a:ext cx="6186170" cy="2734945"/>
                    </a:xfrm>
                    <a:prstGeom prst="rect">
                      <a:avLst/>
                    </a:prstGeom>
                  </pic:spPr>
                </pic:pic>
              </a:graphicData>
            </a:graphic>
          </wp:inline>
        </w:drawing>
      </w:r>
    </w:p>
    <w:p>
      <w:pPr>
        <w:ind w:firstLine="420" w:firstLineChars="200"/>
        <w:rPr>
          <w:rFonts w:ascii="微软雅黑" w:hAnsi="微软雅黑" w:eastAsia="微软雅黑"/>
          <w:szCs w:val="21"/>
        </w:rPr>
      </w:pPr>
      <w:r>
        <w:rPr>
          <w:rFonts w:ascii="微软雅黑" w:hAnsi="微软雅黑" w:eastAsia="微软雅黑"/>
          <w:szCs w:val="21"/>
        </w:rPr>
        <w:drawing>
          <wp:inline distT="0" distB="0" distL="0" distR="0">
            <wp:extent cx="5861050" cy="2686050"/>
            <wp:effectExtent l="0" t="0" r="6350" b="0"/>
            <wp:docPr id="4" name="图片 1" descr="C:\Users\信息处核心计算机\Desktop\替换机房效果图.png替换机房效果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C:\Users\信息处核心计算机\Desktop\替换机房效果图.png替换机房效果图"/>
                    <pic:cNvPicPr>
                      <a:picLocks noChangeAspect="1"/>
                    </pic:cNvPicPr>
                  </pic:nvPicPr>
                  <pic:blipFill>
                    <a:blip r:embed="rId6"/>
                    <a:srcRect b="8225"/>
                    <a:stretch>
                      <a:fillRect/>
                    </a:stretch>
                  </pic:blipFill>
                  <pic:spPr>
                    <a:xfrm>
                      <a:off x="0" y="0"/>
                      <a:ext cx="5861050" cy="2686050"/>
                    </a:xfrm>
                    <a:prstGeom prst="rect">
                      <a:avLst/>
                    </a:prstGeom>
                  </pic:spPr>
                </pic:pic>
              </a:graphicData>
            </a:graphic>
          </wp:inline>
        </w:drawing>
      </w:r>
    </w:p>
    <w:p>
      <w:pPr>
        <w:pStyle w:val="3"/>
        <w:spacing w:line="0" w:lineRule="atLeast"/>
        <w:rPr>
          <w:rFonts w:ascii="微软雅黑" w:hAnsi="微软雅黑" w:eastAsia="微软雅黑"/>
          <w:sz w:val="28"/>
          <w:szCs w:val="28"/>
        </w:rPr>
      </w:pPr>
      <w:bookmarkStart w:id="49" w:name="_Toc533173058"/>
      <w:bookmarkStart w:id="50" w:name="_Toc532894185"/>
      <w:r>
        <w:rPr>
          <w:rFonts w:hint="eastAsia" w:ascii="微软雅黑" w:hAnsi="微软雅黑" w:eastAsia="微软雅黑"/>
          <w:sz w:val="28"/>
          <w:szCs w:val="28"/>
        </w:rPr>
        <w:t>3.2.1数据中心机房建设目标</w:t>
      </w:r>
      <w:bookmarkEnd w:id="49"/>
      <w:bookmarkEnd w:id="50"/>
    </w:p>
    <w:p>
      <w:pPr>
        <w:ind w:firstLine="420" w:firstLineChars="200"/>
        <w:rPr>
          <w:rFonts w:ascii="微软雅黑" w:hAnsi="微软雅黑" w:eastAsia="微软雅黑"/>
          <w:szCs w:val="21"/>
        </w:rPr>
      </w:pPr>
      <w:r>
        <w:rPr>
          <w:rFonts w:hint="eastAsia" w:ascii="微软雅黑" w:hAnsi="微软雅黑" w:eastAsia="微软雅黑"/>
          <w:szCs w:val="21"/>
        </w:rPr>
        <w:t>汇新路信息机房面积大约为165㎡左右,作为北国汇新城项目的数据中心。中心机房按功能</w:t>
      </w:r>
    </w:p>
    <w:p>
      <w:pPr>
        <w:rPr>
          <w:rFonts w:ascii="微软雅黑" w:hAnsi="微软雅黑" w:eastAsia="微软雅黑"/>
          <w:szCs w:val="21"/>
        </w:rPr>
      </w:pPr>
      <w:r>
        <w:rPr>
          <w:rFonts w:hint="eastAsia" w:ascii="微软雅黑" w:hAnsi="微软雅黑" w:eastAsia="微软雅黑"/>
          <w:szCs w:val="21"/>
        </w:rPr>
        <w:t>划分设备区、网络机柜区、具备基本环境监控功能。</w:t>
      </w:r>
    </w:p>
    <w:p>
      <w:pPr>
        <w:spacing w:line="360" w:lineRule="auto"/>
        <w:ind w:firstLine="420" w:firstLineChars="200"/>
        <w:rPr>
          <w:rFonts w:ascii="微软雅黑" w:hAnsi="微软雅黑" w:eastAsia="微软雅黑"/>
          <w:szCs w:val="21"/>
        </w:rPr>
      </w:pPr>
      <w:r>
        <w:rPr>
          <w:rFonts w:hint="eastAsia" w:ascii="微软雅黑" w:hAnsi="微软雅黑" w:eastAsia="微软雅黑"/>
          <w:szCs w:val="21"/>
        </w:rPr>
        <w:t>装修需要满足防火、放静电、防尘、防盗、防噪音、屏蔽需求。机房建设将以国家B类标准进行建设，涉及机房土建装修设计（将满足机房防尘、防潮、抗静电、等机房环境需求）、机房供配电系统设计（将满足机房高质量、持续、稳定供电需求）、机房空调系统设计（将满足机房温度调节、基础的湿度调界、风量调节等要求）、机房安全系统（将满足机房防盗、消防灭火等物理安全需求）、机房环境监控系统（将满足机房设备运行情况监控）。</w:t>
      </w:r>
    </w:p>
    <w:p>
      <w:pPr>
        <w:pStyle w:val="3"/>
        <w:rPr>
          <w:rFonts w:ascii="微软雅黑" w:hAnsi="微软雅黑" w:eastAsia="微软雅黑"/>
          <w:sz w:val="28"/>
          <w:szCs w:val="28"/>
        </w:rPr>
      </w:pPr>
      <w:bookmarkStart w:id="51" w:name="_Toc532894186"/>
      <w:bookmarkStart w:id="52" w:name="_Toc285504047"/>
      <w:bookmarkStart w:id="53" w:name="_Toc148176329"/>
      <w:bookmarkStart w:id="54" w:name="_Toc148175919"/>
      <w:bookmarkStart w:id="55" w:name="_Toc148843309"/>
      <w:bookmarkStart w:id="56" w:name="_Toc148282543"/>
      <w:bookmarkStart w:id="57" w:name="_Toc533173059"/>
      <w:r>
        <w:rPr>
          <w:rFonts w:hint="eastAsia" w:ascii="微软雅黑" w:hAnsi="微软雅黑" w:eastAsia="微软雅黑"/>
          <w:sz w:val="28"/>
          <w:szCs w:val="28"/>
        </w:rPr>
        <w:t>3.2.2地面装修说明</w:t>
      </w:r>
      <w:bookmarkEnd w:id="51"/>
      <w:bookmarkEnd w:id="52"/>
      <w:bookmarkEnd w:id="53"/>
      <w:bookmarkEnd w:id="54"/>
      <w:bookmarkEnd w:id="55"/>
      <w:bookmarkEnd w:id="56"/>
      <w:bookmarkEnd w:id="57"/>
    </w:p>
    <w:p>
      <w:pPr>
        <w:ind w:firstLine="420" w:firstLineChars="200"/>
        <w:rPr>
          <w:rFonts w:ascii="微软雅黑" w:hAnsi="微软雅黑" w:eastAsia="微软雅黑"/>
          <w:szCs w:val="21"/>
        </w:rPr>
      </w:pPr>
      <w:r>
        <w:rPr>
          <w:rFonts w:hint="eastAsia" w:ascii="微软雅黑" w:hAnsi="微软雅黑" w:eastAsia="微软雅黑"/>
          <w:szCs w:val="21"/>
        </w:rPr>
        <w:t>数据中心机房地板铺设高度为0.35米，机房地板采用优质600X600全钢耐磨抗静电地板，在支架下边刷粘和漆,在地板下边在UPS区域加固，并做散立支撑，分载ＵＰＳ承重问题。</w:t>
      </w:r>
    </w:p>
    <w:p>
      <w:pPr>
        <w:ind w:firstLine="420" w:firstLineChars="200"/>
        <w:rPr>
          <w:rFonts w:ascii="微软雅黑" w:hAnsi="微软雅黑" w:eastAsia="微软雅黑"/>
          <w:szCs w:val="21"/>
        </w:rPr>
      </w:pPr>
      <w:r>
        <w:rPr>
          <w:rFonts w:hint="eastAsia" w:ascii="微软雅黑" w:hAnsi="微软雅黑" w:eastAsia="微软雅黑"/>
          <w:szCs w:val="21"/>
        </w:rPr>
        <w:t>机房办公区通铺800x800耐磨防滑瓷砖，墙角安装踢脚线。</w:t>
      </w:r>
    </w:p>
    <w:p>
      <w:pPr>
        <w:pStyle w:val="3"/>
        <w:rPr>
          <w:rFonts w:ascii="微软雅黑" w:hAnsi="微软雅黑" w:eastAsia="微软雅黑"/>
          <w:sz w:val="28"/>
          <w:szCs w:val="28"/>
        </w:rPr>
      </w:pPr>
      <w:bookmarkStart w:id="58" w:name="_Toc148282544"/>
      <w:bookmarkStart w:id="59" w:name="_Toc148843310"/>
      <w:bookmarkStart w:id="60" w:name="_Toc148176330"/>
      <w:bookmarkStart w:id="61" w:name="_Toc285504048"/>
      <w:bookmarkStart w:id="62" w:name="_Toc532894187"/>
      <w:bookmarkStart w:id="63" w:name="_Toc148175920"/>
      <w:bookmarkStart w:id="64" w:name="_Toc533173060"/>
      <w:r>
        <w:rPr>
          <w:rFonts w:hint="eastAsia" w:ascii="微软雅黑" w:hAnsi="微软雅黑" w:eastAsia="微软雅黑"/>
          <w:sz w:val="28"/>
          <w:szCs w:val="28"/>
        </w:rPr>
        <w:t>3.2.3 吊顶装修说明</w:t>
      </w:r>
      <w:bookmarkEnd w:id="58"/>
      <w:bookmarkEnd w:id="59"/>
      <w:bookmarkEnd w:id="60"/>
      <w:bookmarkEnd w:id="61"/>
      <w:bookmarkEnd w:id="62"/>
      <w:bookmarkEnd w:id="63"/>
      <w:bookmarkEnd w:id="64"/>
    </w:p>
    <w:p>
      <w:pPr>
        <w:spacing w:line="0" w:lineRule="atLeast"/>
        <w:ind w:firstLine="420" w:firstLineChars="200"/>
        <w:rPr>
          <w:rFonts w:ascii="微软雅黑" w:hAnsi="微软雅黑" w:eastAsia="微软雅黑"/>
          <w:szCs w:val="21"/>
        </w:rPr>
      </w:pPr>
      <w:r>
        <w:rPr>
          <w:rFonts w:hint="eastAsia" w:ascii="微软雅黑" w:hAnsi="微软雅黑" w:eastAsia="微软雅黑"/>
          <w:szCs w:val="21"/>
        </w:rPr>
        <w:t>数据中心机房所有天花全部采用铁立达微孔铝合金金属板吊顶，顶内回风配套主龙骨，次龙骨，龙骨采用40X4角钢支撑。梁、顶做防尘处理。</w:t>
      </w:r>
    </w:p>
    <w:p>
      <w:pPr>
        <w:pStyle w:val="3"/>
        <w:rPr>
          <w:rFonts w:ascii="微软雅黑" w:hAnsi="微软雅黑" w:eastAsia="微软雅黑"/>
          <w:sz w:val="28"/>
          <w:szCs w:val="28"/>
        </w:rPr>
      </w:pPr>
      <w:bookmarkStart w:id="65" w:name="_Toc533173061"/>
      <w:bookmarkStart w:id="66" w:name="_Toc532894188"/>
      <w:bookmarkStart w:id="67" w:name="_Toc285504050"/>
      <w:r>
        <w:rPr>
          <w:rFonts w:hint="eastAsia" w:ascii="微软雅黑" w:hAnsi="微软雅黑" w:eastAsia="微软雅黑"/>
          <w:sz w:val="28"/>
          <w:szCs w:val="28"/>
        </w:rPr>
        <w:t>3.2.4墙体装修说明</w:t>
      </w:r>
      <w:bookmarkEnd w:id="65"/>
      <w:bookmarkEnd w:id="66"/>
      <w:bookmarkEnd w:id="67"/>
    </w:p>
    <w:p>
      <w:pPr>
        <w:spacing w:line="0" w:lineRule="atLeast"/>
        <w:ind w:firstLine="210" w:firstLineChars="100"/>
        <w:rPr>
          <w:rFonts w:ascii="微软雅黑" w:hAnsi="微软雅黑" w:eastAsia="微软雅黑"/>
          <w:szCs w:val="21"/>
        </w:rPr>
      </w:pPr>
      <w:r>
        <w:rPr>
          <w:rFonts w:hint="eastAsia" w:ascii="微软雅黑" w:hAnsi="微软雅黑" w:eastAsia="微软雅黑"/>
          <w:szCs w:val="21"/>
        </w:rPr>
        <w:t>机房配电区设置防火区。按照机房环境要求，核心机房内墙面东、南两侧墙体进行隔音、防火、屏蔽处理，墙面刷白色高档乳胶漆。机房区域在静电地板之上放置石膏板隔断分隔核心机房与辅助机房，加固并确保牢固。</w:t>
      </w:r>
    </w:p>
    <w:p>
      <w:pPr>
        <w:spacing w:line="0" w:lineRule="atLeast"/>
        <w:ind w:firstLine="210" w:firstLineChars="100"/>
        <w:rPr>
          <w:rFonts w:ascii="微软雅黑" w:hAnsi="微软雅黑" w:eastAsia="微软雅黑"/>
          <w:szCs w:val="21"/>
        </w:rPr>
      </w:pPr>
      <w:r>
        <w:rPr>
          <w:rFonts w:hint="eastAsia" w:ascii="微软雅黑" w:hAnsi="微软雅黑" w:eastAsia="微软雅黑"/>
          <w:szCs w:val="21"/>
        </w:rPr>
        <w:t>机房办公区墙面刷白色高档乳胶漆。</w:t>
      </w:r>
    </w:p>
    <w:p>
      <w:pPr>
        <w:pStyle w:val="3"/>
        <w:rPr>
          <w:rFonts w:ascii="微软雅黑" w:hAnsi="微软雅黑" w:eastAsia="微软雅黑"/>
          <w:sz w:val="28"/>
          <w:szCs w:val="28"/>
        </w:rPr>
      </w:pPr>
      <w:bookmarkStart w:id="68" w:name="_Toc285504051"/>
      <w:bookmarkStart w:id="69" w:name="_Toc532894189"/>
      <w:bookmarkStart w:id="70" w:name="_Toc148843312"/>
      <w:bookmarkStart w:id="71" w:name="_Toc148282546"/>
      <w:bookmarkStart w:id="72" w:name="_Toc533173062"/>
      <w:bookmarkStart w:id="73" w:name="_Toc148175922"/>
      <w:bookmarkStart w:id="74" w:name="_Toc148176332"/>
      <w:r>
        <w:rPr>
          <w:rFonts w:hint="eastAsia" w:ascii="微软雅黑" w:hAnsi="微软雅黑" w:eastAsia="微软雅黑"/>
          <w:sz w:val="28"/>
          <w:szCs w:val="28"/>
        </w:rPr>
        <w:t>3.2.5门窗装修说明</w:t>
      </w:r>
      <w:bookmarkEnd w:id="68"/>
      <w:bookmarkEnd w:id="69"/>
      <w:bookmarkEnd w:id="70"/>
      <w:bookmarkEnd w:id="71"/>
      <w:bookmarkEnd w:id="72"/>
      <w:bookmarkEnd w:id="73"/>
      <w:bookmarkEnd w:id="74"/>
    </w:p>
    <w:p>
      <w:pPr>
        <w:spacing w:before="240"/>
        <w:ind w:firstLine="420" w:firstLineChars="200"/>
        <w:rPr>
          <w:rFonts w:ascii="微软雅黑" w:hAnsi="微软雅黑" w:eastAsia="微软雅黑"/>
          <w:szCs w:val="21"/>
        </w:rPr>
      </w:pPr>
      <w:r>
        <w:rPr>
          <w:rFonts w:hint="eastAsia" w:ascii="微软雅黑" w:hAnsi="微软雅黑" w:eastAsia="微软雅黑"/>
          <w:szCs w:val="21"/>
        </w:rPr>
        <w:t>机房出口设置向疏散方向开启的门。机房办公区主入口与辅助机房区入口安装防火防盗门，核心机房安装防火玻璃门，机房里面的人员可自由出去，在火警情况下可保证人员安全撤离。辅助设备存放区域的玻璃窗户保留。</w:t>
      </w:r>
    </w:p>
    <w:p>
      <w:pPr>
        <w:pStyle w:val="3"/>
        <w:rPr>
          <w:rFonts w:ascii="微软雅黑" w:hAnsi="微软雅黑" w:eastAsia="微软雅黑"/>
          <w:sz w:val="28"/>
          <w:szCs w:val="28"/>
        </w:rPr>
      </w:pPr>
      <w:bookmarkStart w:id="75" w:name="_Toc532894190"/>
      <w:bookmarkStart w:id="76" w:name="_Toc533173063"/>
      <w:r>
        <w:rPr>
          <w:rFonts w:hint="eastAsia" w:ascii="微软雅黑" w:hAnsi="微软雅黑" w:eastAsia="微软雅黑"/>
          <w:sz w:val="28"/>
          <w:szCs w:val="28"/>
        </w:rPr>
        <w:t>3.2.6空调改造方案</w:t>
      </w:r>
      <w:bookmarkEnd w:id="75"/>
      <w:bookmarkEnd w:id="76"/>
    </w:p>
    <w:p>
      <w:pPr>
        <w:ind w:firstLine="420" w:firstLineChars="200"/>
        <w:rPr>
          <w:rFonts w:ascii="微软雅黑" w:hAnsi="微软雅黑" w:eastAsia="微软雅黑"/>
          <w:szCs w:val="21"/>
        </w:rPr>
      </w:pPr>
      <w:r>
        <w:rPr>
          <w:rFonts w:hint="eastAsia" w:ascii="微软雅黑" w:hAnsi="微软雅黑" w:eastAsia="微软雅黑"/>
          <w:szCs w:val="21"/>
        </w:rPr>
        <w:t>数据中心机房面积约 60㎡，配置 2 台5匹大功率机房精密空调，做为主备双机运行，机房空调外机能满足高温要求，要求能在＞40 度，365*24小时工作。</w:t>
      </w:r>
    </w:p>
    <w:p>
      <w:pPr>
        <w:pStyle w:val="3"/>
        <w:rPr>
          <w:rFonts w:ascii="微软雅黑" w:hAnsi="微软雅黑" w:eastAsia="微软雅黑"/>
          <w:sz w:val="28"/>
          <w:szCs w:val="28"/>
        </w:rPr>
      </w:pPr>
      <w:bookmarkStart w:id="77" w:name="_Toc533173064"/>
      <w:bookmarkStart w:id="78" w:name="_Toc532894191"/>
      <w:r>
        <w:rPr>
          <w:rFonts w:hint="eastAsia" w:ascii="微软雅黑" w:hAnsi="微软雅黑" w:eastAsia="微软雅黑"/>
          <w:sz w:val="28"/>
          <w:szCs w:val="28"/>
        </w:rPr>
        <w:t>3.2.</w:t>
      </w:r>
      <w:bookmarkStart w:id="79" w:name="_Toc285504058"/>
      <w:r>
        <w:rPr>
          <w:rFonts w:hint="eastAsia" w:ascii="微软雅黑" w:hAnsi="微软雅黑" w:eastAsia="微软雅黑"/>
          <w:sz w:val="28"/>
          <w:szCs w:val="28"/>
        </w:rPr>
        <w:t>7电气设计说明</w:t>
      </w:r>
      <w:bookmarkEnd w:id="77"/>
      <w:bookmarkEnd w:id="78"/>
      <w:bookmarkEnd w:id="79"/>
    </w:p>
    <w:p>
      <w:pPr>
        <w:spacing w:line="360" w:lineRule="auto"/>
        <w:ind w:firstLine="420" w:firstLineChars="200"/>
        <w:rPr>
          <w:rFonts w:ascii="微软雅黑" w:hAnsi="微软雅黑" w:eastAsia="微软雅黑"/>
          <w:szCs w:val="21"/>
        </w:rPr>
      </w:pPr>
      <w:r>
        <w:rPr>
          <w:rFonts w:hint="eastAsia" w:ascii="微软雅黑" w:hAnsi="微软雅黑" w:eastAsia="微软雅黑"/>
          <w:szCs w:val="21"/>
        </w:rPr>
        <w:t>本项目机房均有双路供电，主电源由市电供电，备用电源由UPS电源提供，主要的通信用电设备负荷性质属一级，特别重要的设备采用UPS电源供电，其余动力、照明负荷为三级，对计算机主机设备供电电源质量要求采用A级标准。</w:t>
      </w:r>
    </w:p>
    <w:p>
      <w:pPr>
        <w:pStyle w:val="24"/>
      </w:pPr>
      <w:bookmarkStart w:id="80" w:name="_Toc532894193"/>
      <w:r>
        <w:rPr>
          <w:rFonts w:hint="eastAsia"/>
        </w:rPr>
        <w:t>1）动力、辅助电源及市电照明配电</w:t>
      </w:r>
      <w:bookmarkEnd w:id="80"/>
    </w:p>
    <w:p>
      <w:pPr>
        <w:spacing w:line="20" w:lineRule="atLeast"/>
        <w:ind w:firstLine="403" w:firstLineChars="192"/>
        <w:rPr>
          <w:rFonts w:ascii="微软雅黑" w:hAnsi="微软雅黑" w:eastAsia="微软雅黑"/>
          <w:szCs w:val="21"/>
        </w:rPr>
      </w:pPr>
      <w:r>
        <w:rPr>
          <w:rFonts w:hint="eastAsia" w:ascii="微软雅黑" w:hAnsi="微软雅黑" w:eastAsia="微软雅黑"/>
          <w:szCs w:val="21"/>
        </w:rPr>
        <w:t>机房的动力、辅助电源及市电照明部分的供电由动力配电柜负责，动力配电柜负责机房空调设备、新风机、机房辅助插座、机房照明的供电。配电系统采用三相5线380V/200V，交流50HZ配电箱、柜安装完毕后，进行编号，并标明箱、柜内各开关的用途以便于操作和检修。配电箱、柜内留有备用电路，作机房设备扩充时用电。</w:t>
      </w:r>
      <w:bookmarkStart w:id="81" w:name="_Toc532894194"/>
    </w:p>
    <w:p>
      <w:pPr>
        <w:pStyle w:val="21"/>
        <w:ind w:firstLine="0" w:firstLineChars="0"/>
        <w:rPr>
          <w:rFonts w:ascii="微软雅黑" w:hAnsi="微软雅黑" w:eastAsia="微软雅黑"/>
          <w:sz w:val="24"/>
        </w:rPr>
      </w:pPr>
      <w:r>
        <w:rPr>
          <w:rFonts w:hint="eastAsia" w:ascii="微软雅黑" w:hAnsi="微软雅黑" w:eastAsia="微软雅黑"/>
          <w:sz w:val="24"/>
        </w:rPr>
        <w:t>2）插座</w:t>
      </w:r>
      <w:bookmarkEnd w:id="81"/>
    </w:p>
    <w:p>
      <w:pPr>
        <w:spacing w:line="20" w:lineRule="atLeast"/>
        <w:ind w:firstLine="315" w:firstLineChars="150"/>
        <w:rPr>
          <w:rStyle w:val="33"/>
          <w:rFonts w:ascii="微软雅黑" w:hAnsi="微软雅黑" w:eastAsia="微软雅黑"/>
          <w:sz w:val="21"/>
          <w:szCs w:val="21"/>
        </w:rPr>
      </w:pPr>
      <w:r>
        <w:rPr>
          <w:rStyle w:val="33"/>
          <w:rFonts w:hint="eastAsia" w:ascii="微软雅黑" w:hAnsi="微软雅黑" w:eastAsia="微软雅黑"/>
          <w:sz w:val="21"/>
          <w:szCs w:val="21"/>
        </w:rPr>
        <w:t>机房内用电插座分为两大类，UPS插座和市电插座。主机房和主控室的插座为金属地插座，市电和应急电源的插座可以设计为墙插座，</w:t>
      </w:r>
      <w:r>
        <w:rPr>
          <w:rFonts w:hint="eastAsia" w:ascii="微软雅黑" w:hAnsi="微软雅黑" w:eastAsia="微软雅黑"/>
          <w:szCs w:val="21"/>
        </w:rPr>
        <w:t>机柜、消防和机房数据中心提供的电源都由</w:t>
      </w:r>
      <w:r>
        <w:rPr>
          <w:rStyle w:val="33"/>
          <w:rFonts w:hint="eastAsia" w:ascii="微软雅黑" w:hAnsi="微软雅黑" w:eastAsia="微软雅黑"/>
          <w:sz w:val="21"/>
          <w:szCs w:val="21"/>
        </w:rPr>
        <w:t xml:space="preserve">UPS插座提供。每个房间要考虑应急电源和备用插座，方便事故应急和维修。所有市电、应急电、事故照明、消防、空调、备用电源等电源单独分相走线。 </w:t>
      </w:r>
    </w:p>
    <w:p>
      <w:pPr>
        <w:spacing w:line="20" w:lineRule="atLeast"/>
        <w:ind w:firstLine="315" w:firstLineChars="150"/>
        <w:rPr>
          <w:rFonts w:ascii="微软雅黑" w:hAnsi="微软雅黑" w:eastAsia="微软雅黑"/>
          <w:szCs w:val="21"/>
        </w:rPr>
      </w:pPr>
      <w:r>
        <w:rPr>
          <w:rFonts w:hint="eastAsia" w:ascii="微软雅黑" w:hAnsi="微软雅黑" w:eastAsia="微软雅黑"/>
          <w:szCs w:val="21"/>
        </w:rPr>
        <w:t>网络机柜采用稳不落六联多功能插座板，每台机柜采用双回路供电，不与其他机柜共用。</w:t>
      </w:r>
      <w:bookmarkStart w:id="82" w:name="_Toc532894195"/>
    </w:p>
    <w:p>
      <w:pPr>
        <w:pStyle w:val="21"/>
        <w:spacing w:line="20" w:lineRule="atLeast"/>
        <w:ind w:firstLine="0" w:firstLineChars="0"/>
        <w:rPr>
          <w:rFonts w:ascii="微软雅黑" w:hAnsi="微软雅黑" w:eastAsia="微软雅黑"/>
          <w:szCs w:val="21"/>
        </w:rPr>
      </w:pPr>
      <w:r>
        <w:rPr>
          <w:rFonts w:hint="eastAsia" w:ascii="微软雅黑" w:hAnsi="微软雅黑" w:eastAsia="微软雅黑"/>
          <w:sz w:val="24"/>
        </w:rPr>
        <w:t>3） 电缆</w:t>
      </w:r>
      <w:bookmarkEnd w:id="82"/>
    </w:p>
    <w:p>
      <w:pPr>
        <w:spacing w:line="0" w:lineRule="atLeast"/>
        <w:ind w:firstLine="420" w:firstLineChars="200"/>
        <w:rPr>
          <w:rFonts w:ascii="微软雅黑" w:hAnsi="微软雅黑" w:eastAsia="微软雅黑"/>
          <w:szCs w:val="21"/>
        </w:rPr>
      </w:pPr>
      <w:r>
        <w:rPr>
          <w:rFonts w:hint="eastAsia" w:ascii="微软雅黑" w:hAnsi="微软雅黑" w:eastAsia="微软雅黑"/>
          <w:szCs w:val="21"/>
        </w:rPr>
        <w:t>电缆（电线）选择为国家A线缆。主干进线为YJV4X25+10㎡,每个插座的电源线用4㎡,灯线采用2.5㎡电源线。</w:t>
      </w:r>
    </w:p>
    <w:p>
      <w:pPr>
        <w:pStyle w:val="21"/>
        <w:ind w:firstLine="0" w:firstLineChars="0"/>
        <w:rPr>
          <w:rFonts w:ascii="微软雅黑" w:hAnsi="微软雅黑" w:eastAsia="微软雅黑"/>
          <w:sz w:val="24"/>
        </w:rPr>
      </w:pPr>
      <w:bookmarkStart w:id="83" w:name="_Toc285504063"/>
      <w:bookmarkStart w:id="84" w:name="_Toc532894196"/>
      <w:bookmarkStart w:id="85" w:name="_Toc148843324"/>
      <w:bookmarkStart w:id="86" w:name="_Toc148282559"/>
      <w:r>
        <w:rPr>
          <w:rFonts w:hint="eastAsia" w:ascii="微软雅黑" w:hAnsi="微软雅黑" w:eastAsia="微软雅黑"/>
          <w:sz w:val="24"/>
        </w:rPr>
        <w:t>4）照明设计说明</w:t>
      </w:r>
      <w:bookmarkEnd w:id="83"/>
      <w:bookmarkEnd w:id="84"/>
      <w:bookmarkEnd w:id="85"/>
      <w:bookmarkEnd w:id="86"/>
    </w:p>
    <w:p>
      <w:pPr>
        <w:spacing w:line="0" w:lineRule="atLeast"/>
        <w:ind w:firstLine="420" w:firstLineChars="200"/>
        <w:rPr>
          <w:rFonts w:ascii="微软雅黑" w:hAnsi="微软雅黑" w:eastAsia="微软雅黑"/>
          <w:szCs w:val="21"/>
        </w:rPr>
      </w:pPr>
      <w:r>
        <w:rPr>
          <w:rFonts w:hint="eastAsia" w:ascii="微软雅黑" w:hAnsi="微软雅黑" w:eastAsia="微软雅黑"/>
          <w:szCs w:val="21"/>
        </w:rPr>
        <w:t>照明设计为三管LED格栅灯，机房区设计照度大于400LX，辅助机房及机房办公区设计照度大于200LX。</w:t>
      </w:r>
    </w:p>
    <w:p>
      <w:pPr>
        <w:ind w:firstLine="420" w:firstLineChars="200"/>
        <w:rPr>
          <w:rFonts w:ascii="微软雅黑" w:hAnsi="微软雅黑" w:eastAsia="微软雅黑"/>
          <w:szCs w:val="21"/>
        </w:rPr>
      </w:pPr>
      <w:r>
        <w:rPr>
          <w:rFonts w:hint="eastAsia" w:ascii="微软雅黑" w:hAnsi="微软雅黑" w:eastAsia="微软雅黑"/>
          <w:szCs w:val="21"/>
        </w:rPr>
        <w:t>在市电停电后，为保证工作人员作存盘等紧急处理筒灯，当市电停电后，自动起动应急照明，由UPS供电，以保证计算机房及机柜区进行简单维护以及上机人员紧急处理存盘以后撤离，设计照度大于10LX,同时在机房的各出口出设计出口标志灯，设计照度大于1LX,以满足消防体系的要求。</w:t>
      </w:r>
    </w:p>
    <w:p>
      <w:pPr>
        <w:pStyle w:val="2"/>
        <w:spacing w:line="0" w:lineRule="atLeast"/>
        <w:rPr>
          <w:rFonts w:ascii="微软雅黑" w:hAnsi="微软雅黑" w:eastAsia="微软雅黑"/>
          <w:sz w:val="32"/>
          <w:szCs w:val="32"/>
        </w:rPr>
      </w:pPr>
      <w:bookmarkStart w:id="87" w:name="_Toc532894197"/>
      <w:bookmarkStart w:id="88" w:name="_Toc533173065"/>
      <w:r>
        <w:rPr>
          <w:rFonts w:hint="eastAsia" w:ascii="微软雅黑" w:hAnsi="微软雅黑" w:eastAsia="微软雅黑"/>
          <w:sz w:val="32"/>
          <w:szCs w:val="32"/>
        </w:rPr>
        <w:t>4. 机房安全系统设计</w:t>
      </w:r>
      <w:bookmarkEnd w:id="87"/>
      <w:bookmarkEnd w:id="88"/>
    </w:p>
    <w:p>
      <w:pPr>
        <w:spacing w:line="0" w:lineRule="atLeast"/>
        <w:ind w:firstLine="420" w:firstLineChars="200"/>
        <w:rPr>
          <w:rFonts w:ascii="微软雅黑" w:hAnsi="微软雅黑" w:eastAsia="微软雅黑"/>
          <w:szCs w:val="21"/>
        </w:rPr>
      </w:pPr>
      <w:r>
        <w:rPr>
          <w:rFonts w:hint="eastAsia" w:ascii="微软雅黑" w:hAnsi="微软雅黑" w:eastAsia="微软雅黑"/>
          <w:szCs w:val="21"/>
        </w:rPr>
        <w:t>本工程设计的弱电内容包括：机房三级防雷接地系统、机房消防报警灭火系统。</w:t>
      </w:r>
    </w:p>
    <w:p>
      <w:pPr>
        <w:pStyle w:val="3"/>
        <w:rPr>
          <w:rFonts w:ascii="微软雅黑" w:hAnsi="微软雅黑" w:eastAsia="微软雅黑"/>
          <w:sz w:val="28"/>
          <w:szCs w:val="28"/>
        </w:rPr>
      </w:pPr>
      <w:bookmarkStart w:id="89" w:name="_Toc285504066"/>
      <w:bookmarkStart w:id="90" w:name="_Toc533173066"/>
      <w:bookmarkStart w:id="91" w:name="_Toc532894198"/>
      <w:r>
        <w:rPr>
          <w:rFonts w:hint="eastAsia" w:ascii="微软雅黑" w:hAnsi="微软雅黑" w:eastAsia="微软雅黑"/>
          <w:sz w:val="28"/>
          <w:szCs w:val="28"/>
        </w:rPr>
        <w:t>4.1防雷接地设计说明</w:t>
      </w:r>
      <w:bookmarkEnd w:id="89"/>
      <w:bookmarkEnd w:id="90"/>
      <w:bookmarkEnd w:id="91"/>
    </w:p>
    <w:p>
      <w:pPr>
        <w:spacing w:line="0" w:lineRule="atLeast"/>
        <w:ind w:firstLine="420" w:firstLineChars="200"/>
        <w:rPr>
          <w:rStyle w:val="33"/>
          <w:rFonts w:ascii="微软雅黑" w:hAnsi="微软雅黑" w:eastAsia="微软雅黑"/>
          <w:sz w:val="21"/>
          <w:szCs w:val="21"/>
        </w:rPr>
      </w:pPr>
      <w:r>
        <w:rPr>
          <w:rStyle w:val="33"/>
          <w:rFonts w:hint="eastAsia" w:ascii="微软雅黑" w:hAnsi="微软雅黑" w:eastAsia="微软雅黑"/>
          <w:sz w:val="21"/>
          <w:szCs w:val="21"/>
        </w:rPr>
        <w:t>机房设计3级防雷、综合接地系统。中心机房做等电位连接。</w:t>
      </w:r>
    </w:p>
    <w:p>
      <w:pPr>
        <w:pStyle w:val="3"/>
        <w:rPr>
          <w:rFonts w:ascii="微软雅黑" w:hAnsi="微软雅黑" w:eastAsia="微软雅黑"/>
          <w:sz w:val="28"/>
          <w:szCs w:val="28"/>
        </w:rPr>
      </w:pPr>
      <w:bookmarkStart w:id="92" w:name="_Toc533173067"/>
      <w:bookmarkStart w:id="93" w:name="_Toc532894199"/>
      <w:r>
        <w:rPr>
          <w:rFonts w:hint="eastAsia" w:ascii="微软雅黑" w:hAnsi="微软雅黑" w:eastAsia="微软雅黑"/>
          <w:sz w:val="28"/>
          <w:szCs w:val="28"/>
        </w:rPr>
        <w:t>4.2接地要求</w:t>
      </w:r>
      <w:bookmarkEnd w:id="92"/>
      <w:bookmarkEnd w:id="93"/>
    </w:p>
    <w:p>
      <w:pPr>
        <w:spacing w:line="20" w:lineRule="atLeast"/>
        <w:ind w:firstLine="420" w:firstLineChars="200"/>
        <w:rPr>
          <w:rStyle w:val="33"/>
          <w:rFonts w:ascii="微软雅黑" w:hAnsi="微软雅黑" w:eastAsia="微软雅黑"/>
          <w:sz w:val="21"/>
          <w:szCs w:val="21"/>
        </w:rPr>
      </w:pPr>
      <w:r>
        <w:rPr>
          <w:rStyle w:val="33"/>
          <w:rFonts w:hint="eastAsia" w:ascii="微软雅黑" w:hAnsi="微软雅黑" w:eastAsia="微软雅黑"/>
          <w:sz w:val="21"/>
          <w:szCs w:val="21"/>
        </w:rPr>
        <w:t>接地系统必须满足：工作交流接地不大于1Ω、安全保护接地不大于1Ω、直流工作接地、接地电阻应按计算机系统具体要求确定、防雷接地按《建筑物防雷设计规范》中的要求，联合接地下接地电阻小于2Ω。</w:t>
      </w:r>
    </w:p>
    <w:p>
      <w:pPr>
        <w:spacing w:line="20" w:lineRule="atLeast"/>
        <w:ind w:firstLine="420" w:firstLineChars="200"/>
        <w:rPr>
          <w:rStyle w:val="33"/>
          <w:rFonts w:ascii="微软雅黑" w:hAnsi="微软雅黑" w:eastAsia="微软雅黑"/>
          <w:sz w:val="21"/>
          <w:szCs w:val="21"/>
        </w:rPr>
      </w:pPr>
      <w:r>
        <w:rPr>
          <w:rStyle w:val="33"/>
          <w:rFonts w:hint="eastAsia" w:ascii="微软雅黑" w:hAnsi="微软雅黑" w:eastAsia="微软雅黑"/>
          <w:sz w:val="21"/>
          <w:szCs w:val="21"/>
        </w:rPr>
        <w:t>等电位连接的目的，在于减小需要防雷的空间内各金属部件和各系统之间的电位差。防止雷电反击。应将机房内的主机金属外壳，UPS及电池箱金属外壳、金属地板框架、金属门框架、设施管路、电缆桥架、铝合金窗等金属和弱电设备全部进行等电位连接，并以最短的线路连到最近的等电位连接带或在其它已做了等电位连接的金属物上，且各导电物之间的尽量附加多次相互连接。</w:t>
      </w:r>
    </w:p>
    <w:p>
      <w:pPr>
        <w:spacing w:line="20" w:lineRule="atLeast"/>
        <w:ind w:firstLine="420" w:firstLineChars="200"/>
        <w:rPr>
          <w:rStyle w:val="33"/>
          <w:rFonts w:ascii="微软雅黑" w:hAnsi="微软雅黑" w:eastAsia="微软雅黑"/>
          <w:sz w:val="21"/>
          <w:szCs w:val="21"/>
        </w:rPr>
      </w:pPr>
      <w:r>
        <w:rPr>
          <w:rStyle w:val="33"/>
          <w:rFonts w:hint="eastAsia" w:ascii="微软雅黑" w:hAnsi="微软雅黑" w:eastAsia="微软雅黑"/>
          <w:sz w:val="21"/>
          <w:szCs w:val="21"/>
        </w:rPr>
        <w:t>此外考虑机房的抗静电要求，根据机房的设计规范，机房的静电电压应为&lt;1KV.必须对抗静电活动地板进行可靠的接地处理，从而保证计算机设备及人员的安全运行要求。沿机房做一圈铜带接地网，具体做法是选用30x3铜带连接而成，选用绝缘架空安装，整个机房区形成一个环，用两根BVR25的塑铜线与接地网连接。地板支架、机柜外壳、监控设备、UPS、气体灭火设备等接地采用BVR6的塑铜线连接到综合接地汇流牌。机柜内部所有服务器设备用BVR4的塑铜线和机柜做接地连接。</w:t>
      </w:r>
    </w:p>
    <w:p>
      <w:pPr>
        <w:pStyle w:val="2"/>
        <w:spacing w:line="0" w:lineRule="atLeast"/>
        <w:rPr>
          <w:rFonts w:ascii="微软雅黑" w:hAnsi="微软雅黑" w:eastAsia="微软雅黑"/>
          <w:sz w:val="32"/>
          <w:szCs w:val="32"/>
        </w:rPr>
      </w:pPr>
      <w:bookmarkStart w:id="94" w:name="_Toc533173070"/>
      <w:bookmarkStart w:id="95" w:name="_Toc532894202"/>
      <w:r>
        <w:rPr>
          <w:rFonts w:hint="eastAsia" w:ascii="微软雅黑" w:hAnsi="微软雅黑" w:eastAsia="微软雅黑"/>
          <w:sz w:val="32"/>
          <w:szCs w:val="32"/>
        </w:rPr>
        <w:t>5. 机房设备总控系统设计概述</w:t>
      </w:r>
      <w:bookmarkEnd w:id="94"/>
      <w:bookmarkEnd w:id="95"/>
    </w:p>
    <w:p>
      <w:pPr>
        <w:ind w:firstLine="420" w:firstLineChars="200"/>
        <w:rPr>
          <w:rFonts w:ascii="微软雅黑" w:hAnsi="微软雅黑" w:eastAsia="微软雅黑"/>
          <w:szCs w:val="21"/>
        </w:rPr>
      </w:pPr>
      <w:r>
        <w:rPr>
          <w:rFonts w:hint="eastAsia" w:ascii="微软雅黑" w:hAnsi="微软雅黑" w:eastAsia="微软雅黑"/>
          <w:szCs w:val="21"/>
        </w:rPr>
        <w:t>机房设计要求能够通过TCP/IP网络、RS232/RS485等媒介实现对中心机房、分散于不同地域的机房等场地内的动力环境设备进行有效的集中监控，监控对象范围为动力设备、专用精密空调、室内空气质量检测、低压配电柜、环境系统（温湿度检测、地面漏水检测报警、照明）、UPS等。</w:t>
      </w:r>
    </w:p>
    <w:p>
      <w:pPr>
        <w:pStyle w:val="3"/>
        <w:rPr>
          <w:rFonts w:ascii="微软雅黑" w:hAnsi="微软雅黑" w:eastAsia="微软雅黑"/>
          <w:sz w:val="28"/>
          <w:szCs w:val="28"/>
        </w:rPr>
      </w:pPr>
      <w:bookmarkStart w:id="96" w:name="_Toc533173071"/>
      <w:bookmarkStart w:id="97" w:name="_Toc532894203"/>
      <w:r>
        <w:rPr>
          <w:rFonts w:hint="eastAsia" w:ascii="微软雅黑" w:hAnsi="微软雅黑" w:eastAsia="微软雅黑"/>
          <w:sz w:val="28"/>
          <w:szCs w:val="28"/>
        </w:rPr>
        <w:t>5.1机房供配电系统：</w:t>
      </w:r>
      <w:bookmarkEnd w:id="96"/>
      <w:bookmarkEnd w:id="97"/>
    </w:p>
    <w:p>
      <w:pPr>
        <w:pStyle w:val="5"/>
        <w:spacing w:line="0" w:lineRule="atLeast"/>
        <w:ind w:firstLine="400"/>
        <w:rPr>
          <w:rFonts w:ascii="微软雅黑" w:hAnsi="微软雅黑" w:eastAsia="微软雅黑"/>
          <w:color w:val="000000"/>
          <w:szCs w:val="21"/>
        </w:rPr>
      </w:pPr>
      <w:r>
        <w:rPr>
          <w:rFonts w:hint="eastAsia" w:ascii="微软雅黑" w:hAnsi="微软雅黑" w:eastAsia="微软雅黑"/>
          <w:color w:val="000000"/>
          <w:szCs w:val="21"/>
        </w:rPr>
        <w:t>1）实时监测市电电源的状态。包括电参数（电流、电压、功率、功率因素等）和开关状态（重要开关的开、合、故障脱扣）状态</w:t>
      </w:r>
    </w:p>
    <w:p>
      <w:pPr>
        <w:pStyle w:val="5"/>
        <w:ind w:firstLine="400"/>
        <w:rPr>
          <w:rFonts w:ascii="微软雅黑" w:hAnsi="微软雅黑" w:eastAsia="微软雅黑"/>
          <w:color w:val="000000"/>
          <w:szCs w:val="21"/>
        </w:rPr>
      </w:pPr>
      <w:r>
        <w:rPr>
          <w:rFonts w:hint="eastAsia" w:ascii="微软雅黑" w:hAnsi="微软雅黑" w:eastAsia="微软雅黑"/>
          <w:color w:val="000000"/>
          <w:szCs w:val="21"/>
        </w:rPr>
        <w:t>市电一旦故障（过压、过流、非正常开关脱扣等），系统会自动切换到相应的报警界面，并产生报警声音。</w:t>
      </w:r>
    </w:p>
    <w:p>
      <w:pPr>
        <w:pStyle w:val="5"/>
        <w:ind w:firstLine="400"/>
        <w:rPr>
          <w:rFonts w:ascii="微软雅黑" w:hAnsi="微软雅黑" w:eastAsia="微软雅黑"/>
          <w:color w:val="000000"/>
          <w:szCs w:val="21"/>
        </w:rPr>
      </w:pPr>
      <w:r>
        <w:rPr>
          <w:rFonts w:hint="eastAsia" w:ascii="微软雅黑" w:hAnsi="微软雅黑" w:eastAsia="微软雅黑"/>
          <w:color w:val="000000"/>
          <w:szCs w:val="21"/>
        </w:rPr>
        <w:t>2）UPS的状态。</w:t>
      </w:r>
    </w:p>
    <w:p>
      <w:pPr>
        <w:pStyle w:val="5"/>
        <w:ind w:firstLine="400"/>
        <w:rPr>
          <w:rFonts w:ascii="微软雅黑" w:hAnsi="微软雅黑" w:eastAsia="微软雅黑"/>
          <w:color w:val="000000"/>
          <w:szCs w:val="21"/>
        </w:rPr>
      </w:pPr>
      <w:r>
        <w:rPr>
          <w:rFonts w:hint="eastAsia" w:ascii="微软雅黑" w:hAnsi="微软雅黑" w:eastAsia="微软雅黑"/>
          <w:color w:val="000000"/>
          <w:szCs w:val="21"/>
        </w:rPr>
        <w:t>实时监测UPS运行状态，根据UPS厂家提供的通讯协议所定义的条件及用户提供的报警要素确定报警内容。一旦UPS报警，系统会自动切换到相应的报警界面，并产生报警声音。</w:t>
      </w:r>
    </w:p>
    <w:p>
      <w:pPr>
        <w:pStyle w:val="3"/>
        <w:rPr>
          <w:rFonts w:ascii="微软雅黑" w:hAnsi="微软雅黑" w:eastAsia="微软雅黑"/>
          <w:sz w:val="28"/>
          <w:szCs w:val="28"/>
        </w:rPr>
      </w:pPr>
      <w:bookmarkStart w:id="98" w:name="_Toc533173072"/>
      <w:bookmarkStart w:id="99" w:name="_Toc532894204"/>
      <w:r>
        <w:rPr>
          <w:rFonts w:hint="eastAsia" w:ascii="微软雅黑" w:hAnsi="微软雅黑" w:eastAsia="微软雅黑"/>
          <w:sz w:val="28"/>
          <w:szCs w:val="28"/>
        </w:rPr>
        <w:t>5.2环境系统</w:t>
      </w:r>
      <w:bookmarkEnd w:id="98"/>
      <w:bookmarkEnd w:id="99"/>
    </w:p>
    <w:p>
      <w:pPr>
        <w:pStyle w:val="5"/>
        <w:spacing w:line="0" w:lineRule="atLeast"/>
        <w:ind w:firstLine="400"/>
        <w:rPr>
          <w:rFonts w:ascii="微软雅黑" w:hAnsi="微软雅黑" w:eastAsia="微软雅黑"/>
          <w:color w:val="000000"/>
          <w:szCs w:val="21"/>
        </w:rPr>
      </w:pPr>
      <w:r>
        <w:rPr>
          <w:rFonts w:hint="eastAsia" w:ascii="微软雅黑" w:hAnsi="微软雅黑" w:eastAsia="微软雅黑"/>
          <w:color w:val="000000"/>
          <w:szCs w:val="21"/>
        </w:rPr>
        <w:t>（1）空调监控。</w:t>
      </w:r>
    </w:p>
    <w:p>
      <w:pPr>
        <w:pStyle w:val="5"/>
        <w:ind w:firstLine="400"/>
        <w:rPr>
          <w:rFonts w:ascii="微软雅黑" w:hAnsi="微软雅黑" w:eastAsia="微软雅黑"/>
          <w:color w:val="000000"/>
          <w:szCs w:val="21"/>
        </w:rPr>
      </w:pPr>
      <w:r>
        <w:rPr>
          <w:rFonts w:hint="eastAsia" w:ascii="微软雅黑" w:hAnsi="微软雅黑" w:eastAsia="微软雅黑"/>
          <w:color w:val="000000"/>
          <w:szCs w:val="21"/>
        </w:rPr>
        <w:t>实时监控精密空调运行状态，系统一旦报警，将会自动切换到相应的报警界面，并产生报警声音。拨打电话、发送短信。并有相应的文字提示。</w:t>
      </w:r>
    </w:p>
    <w:p>
      <w:pPr>
        <w:pStyle w:val="5"/>
        <w:ind w:firstLine="400"/>
        <w:rPr>
          <w:rFonts w:ascii="微软雅黑" w:hAnsi="微软雅黑" w:eastAsia="微软雅黑"/>
          <w:color w:val="000000"/>
          <w:szCs w:val="21"/>
        </w:rPr>
      </w:pPr>
      <w:r>
        <w:rPr>
          <w:rFonts w:hint="eastAsia" w:ascii="微软雅黑" w:hAnsi="微软雅黑" w:eastAsia="微软雅黑"/>
          <w:color w:val="000000"/>
          <w:szCs w:val="21"/>
        </w:rPr>
        <w:t>（2）漏水监控。</w:t>
      </w:r>
    </w:p>
    <w:p>
      <w:pPr>
        <w:pStyle w:val="5"/>
        <w:ind w:firstLine="400"/>
        <w:rPr>
          <w:rFonts w:ascii="微软雅黑" w:hAnsi="微软雅黑" w:eastAsia="微软雅黑"/>
          <w:color w:val="000000"/>
          <w:szCs w:val="21"/>
        </w:rPr>
      </w:pPr>
      <w:r>
        <w:rPr>
          <w:rFonts w:hint="eastAsia" w:ascii="微软雅黑" w:hAnsi="微软雅黑" w:eastAsia="微软雅黑"/>
          <w:color w:val="000000"/>
          <w:szCs w:val="21"/>
        </w:rPr>
        <w:t>精密空调和普通空调下方防水围堰中设置漏水传感器，机房重要区域设置漏水传感器。漏水传感器能以数字通讯信号的格式输出至监控终端。系统可检测感应线上任何点的漏水位置并有声音报警。一旦某个区域发现漏水，系统会自动切换到相应的报警界面，显示漏水区域，并产生报警声音。</w:t>
      </w:r>
    </w:p>
    <w:p>
      <w:pPr>
        <w:pStyle w:val="5"/>
        <w:ind w:firstLine="400"/>
        <w:rPr>
          <w:rFonts w:ascii="微软雅黑" w:hAnsi="微软雅黑" w:eastAsia="微软雅黑"/>
          <w:color w:val="000000"/>
          <w:szCs w:val="21"/>
        </w:rPr>
      </w:pPr>
      <w:r>
        <w:rPr>
          <w:rFonts w:hint="eastAsia" w:ascii="微软雅黑" w:hAnsi="微软雅黑" w:eastAsia="微软雅黑"/>
          <w:color w:val="000000"/>
          <w:szCs w:val="21"/>
        </w:rPr>
        <w:t>（3）温湿度监控</w:t>
      </w:r>
    </w:p>
    <w:p>
      <w:pPr>
        <w:pStyle w:val="5"/>
        <w:ind w:firstLine="400"/>
        <w:rPr>
          <w:rFonts w:ascii="微软雅黑" w:hAnsi="微软雅黑" w:eastAsia="微软雅黑"/>
          <w:color w:val="000000"/>
          <w:szCs w:val="21"/>
        </w:rPr>
      </w:pPr>
      <w:r>
        <w:rPr>
          <w:rFonts w:hint="eastAsia" w:ascii="微软雅黑" w:hAnsi="微软雅黑" w:eastAsia="微软雅黑"/>
          <w:color w:val="000000"/>
          <w:szCs w:val="21"/>
        </w:rPr>
        <w:t>对于大型计算机机房，由于气流及设备分布的影响，温湿度值会有较大的区别，应根据主机房实际情况，安装温湿度传感器，检测机房内的温湿度。一旦温湿度报警，系统会自动切换到相应的报警界面，显示温湿度失控区域，并产生报警声音。</w:t>
      </w:r>
    </w:p>
    <w:p>
      <w:pPr>
        <w:pStyle w:val="5"/>
        <w:ind w:firstLine="400"/>
        <w:rPr>
          <w:rFonts w:ascii="微软雅黑" w:hAnsi="微软雅黑" w:eastAsia="微软雅黑"/>
          <w:color w:val="000000"/>
          <w:szCs w:val="21"/>
        </w:rPr>
      </w:pPr>
      <w:r>
        <w:rPr>
          <w:rFonts w:hint="eastAsia" w:ascii="微软雅黑" w:hAnsi="微软雅黑" w:eastAsia="微软雅黑"/>
          <w:color w:val="000000"/>
          <w:szCs w:val="21"/>
        </w:rPr>
        <w:t>（4）消防报警系统</w:t>
      </w:r>
    </w:p>
    <w:p>
      <w:pPr>
        <w:pStyle w:val="5"/>
        <w:ind w:firstLine="400"/>
        <w:rPr>
          <w:rFonts w:ascii="微软雅黑" w:hAnsi="微软雅黑" w:eastAsia="微软雅黑"/>
          <w:color w:val="000000"/>
          <w:szCs w:val="21"/>
        </w:rPr>
      </w:pPr>
      <w:r>
        <w:rPr>
          <w:rFonts w:hint="eastAsia" w:ascii="微软雅黑" w:hAnsi="微软雅黑" w:eastAsia="微软雅黑"/>
          <w:color w:val="000000"/>
          <w:szCs w:val="21"/>
        </w:rPr>
        <w:t>消防系统报警对于的机房设备的保障十分重要, 一旦消防报警，</w:t>
      </w:r>
      <w:r>
        <w:rPr>
          <w:rFonts w:hint="eastAsia" w:ascii="微软雅黑" w:hAnsi="微软雅黑" w:eastAsia="微软雅黑"/>
          <w:szCs w:val="21"/>
        </w:rPr>
        <w:t>监控系统自动切断机房内的门禁管制，帮助机房内人员快速逃生。监</w:t>
      </w:r>
      <w:r>
        <w:rPr>
          <w:rFonts w:hint="eastAsia" w:ascii="微软雅黑" w:hAnsi="微软雅黑" w:eastAsia="微软雅黑"/>
          <w:color w:val="000000"/>
          <w:szCs w:val="21"/>
        </w:rPr>
        <w:t>控屏显示灯会自动切换到相应的报警界面，显示报警区域，并产生报警声音。</w:t>
      </w:r>
    </w:p>
    <w:p>
      <w:pPr>
        <w:pStyle w:val="5"/>
        <w:ind w:firstLine="400"/>
        <w:rPr>
          <w:rFonts w:ascii="微软雅黑" w:hAnsi="微软雅黑" w:eastAsia="微软雅黑"/>
          <w:color w:val="000000"/>
          <w:szCs w:val="21"/>
        </w:rPr>
      </w:pPr>
      <w:r>
        <w:rPr>
          <w:rFonts w:hint="eastAsia" w:ascii="微软雅黑" w:hAnsi="微软雅黑" w:eastAsia="微软雅黑"/>
          <w:color w:val="000000"/>
          <w:szCs w:val="21"/>
        </w:rPr>
        <w:t>（5）ESDS烟雾检测预警系统</w:t>
      </w:r>
    </w:p>
    <w:p>
      <w:pPr>
        <w:pStyle w:val="5"/>
        <w:ind w:firstLine="400"/>
        <w:rPr>
          <w:rFonts w:ascii="微软雅黑" w:hAnsi="微软雅黑" w:eastAsia="微软雅黑"/>
          <w:color w:val="000000"/>
          <w:szCs w:val="21"/>
        </w:rPr>
      </w:pPr>
      <w:r>
        <w:rPr>
          <w:rFonts w:hint="eastAsia" w:ascii="微软雅黑" w:hAnsi="微软雅黑" w:eastAsia="微软雅黑"/>
          <w:color w:val="000000"/>
          <w:szCs w:val="21"/>
        </w:rPr>
        <w:t>ESDS烟雾检测预警系统作为重要的预警系统，在火势未引起灾害前可通知维护人员采取适当措施防止火灾的发生和蔓延。 一旦烟雾检测预警系统报警，监控屏显示灯会自动切换到相应的报警界面，显示报警区域，并产生报警声音。</w:t>
      </w:r>
    </w:p>
    <w:p>
      <w:pPr>
        <w:pStyle w:val="5"/>
        <w:ind w:firstLine="400"/>
        <w:rPr>
          <w:rFonts w:ascii="微软雅黑" w:hAnsi="微软雅黑" w:eastAsia="微软雅黑"/>
          <w:color w:val="000000"/>
          <w:szCs w:val="21"/>
        </w:rPr>
      </w:pPr>
      <w:r>
        <w:rPr>
          <w:rFonts w:hint="eastAsia" w:ascii="微软雅黑" w:hAnsi="微软雅黑" w:eastAsia="微软雅黑"/>
          <w:color w:val="000000"/>
          <w:szCs w:val="21"/>
        </w:rPr>
        <w:t>（6）机柜检测预警系统</w:t>
      </w:r>
    </w:p>
    <w:p>
      <w:pPr>
        <w:pStyle w:val="5"/>
        <w:ind w:firstLine="400"/>
        <w:rPr>
          <w:rFonts w:ascii="微软雅黑" w:hAnsi="微软雅黑" w:eastAsia="微软雅黑"/>
          <w:color w:val="000000"/>
          <w:szCs w:val="21"/>
        </w:rPr>
      </w:pPr>
      <w:r>
        <w:rPr>
          <w:rFonts w:hint="eastAsia" w:ascii="微软雅黑" w:hAnsi="微软雅黑" w:eastAsia="微软雅黑"/>
          <w:color w:val="000000"/>
          <w:szCs w:val="21"/>
        </w:rPr>
        <w:t>机柜检测预警系统密切监控柜的温度和用电量。一旦高温报警，监控屏显示灯会自动切换到相应的报警界面，显示报警区域，并产生报警声音。同时，机柜检测系统可监测机柜用电量, 以便有计划的使用机柜和平均分流三相电流。</w:t>
      </w:r>
    </w:p>
    <w:p>
      <w:pPr>
        <w:pStyle w:val="2"/>
        <w:rPr>
          <w:rFonts w:ascii="微软雅黑" w:hAnsi="微软雅黑" w:eastAsia="微软雅黑"/>
          <w:sz w:val="32"/>
          <w:szCs w:val="32"/>
        </w:rPr>
      </w:pPr>
      <w:bookmarkStart w:id="100" w:name="_Toc532894205"/>
      <w:bookmarkStart w:id="101" w:name="_Toc533173073"/>
      <w:r>
        <w:rPr>
          <w:rFonts w:hint="eastAsia" w:ascii="微软雅黑" w:hAnsi="微软雅黑" w:eastAsia="微软雅黑"/>
          <w:sz w:val="32"/>
          <w:szCs w:val="32"/>
        </w:rPr>
        <w:t>6机房综合布线</w:t>
      </w:r>
      <w:bookmarkEnd w:id="100"/>
      <w:bookmarkEnd w:id="101"/>
    </w:p>
    <w:p>
      <w:pPr>
        <w:spacing w:line="0" w:lineRule="atLeast"/>
        <w:ind w:firstLine="420" w:firstLineChars="200"/>
        <w:rPr>
          <w:rFonts w:ascii="微软雅黑" w:hAnsi="微软雅黑" w:eastAsia="微软雅黑"/>
          <w:szCs w:val="21"/>
        </w:rPr>
      </w:pPr>
      <w:r>
        <w:rPr>
          <w:rFonts w:hint="eastAsia" w:ascii="微软雅黑" w:hAnsi="微软雅黑" w:eastAsia="微软雅黑"/>
          <w:szCs w:val="21"/>
        </w:rPr>
        <w:t>（1）综合布线线缆均采用超6类屏蔽双绞线；</w:t>
      </w:r>
    </w:p>
    <w:p>
      <w:pPr>
        <w:spacing w:line="360" w:lineRule="auto"/>
        <w:ind w:firstLine="420" w:firstLineChars="200"/>
        <w:rPr>
          <w:rFonts w:ascii="微软雅黑" w:hAnsi="微软雅黑" w:eastAsia="微软雅黑"/>
          <w:color w:val="FF0000"/>
          <w:szCs w:val="21"/>
        </w:rPr>
      </w:pPr>
      <w:r>
        <w:rPr>
          <w:rFonts w:hint="eastAsia" w:ascii="微软雅黑" w:hAnsi="微软雅黑" w:eastAsia="微软雅黑"/>
          <w:szCs w:val="21"/>
        </w:rPr>
        <w:t>（2）机房主机室内网络信息点 全部使用弹起式金属地插座，管理子系统采用RJ45配线架及光纤端接盒统一管理，这对于用户终端的切换尤其方便；</w:t>
      </w:r>
    </w:p>
    <w:p>
      <w:pPr>
        <w:spacing w:line="360" w:lineRule="auto"/>
        <w:ind w:firstLine="420" w:firstLineChars="200"/>
        <w:rPr>
          <w:rFonts w:ascii="微软雅黑" w:hAnsi="微软雅黑" w:eastAsia="微软雅黑"/>
          <w:szCs w:val="21"/>
        </w:rPr>
      </w:pPr>
      <w:r>
        <w:rPr>
          <w:rFonts w:hint="eastAsia" w:ascii="微软雅黑" w:hAnsi="微软雅黑" w:eastAsia="微软雅黑"/>
          <w:szCs w:val="21"/>
        </w:rPr>
        <w:t>（3）地板走线全部采用金属桥架，强电、弱电单独走线，彼此尽量不要交叉。</w:t>
      </w:r>
    </w:p>
    <w:p>
      <w:pPr>
        <w:spacing w:line="360" w:lineRule="auto"/>
        <w:ind w:firstLine="420" w:firstLineChars="200"/>
        <w:rPr>
          <w:rFonts w:ascii="微软雅黑" w:hAnsi="微软雅黑" w:eastAsia="微软雅黑"/>
          <w:szCs w:val="21"/>
        </w:rPr>
      </w:pPr>
      <w:r>
        <w:rPr>
          <w:rFonts w:hint="eastAsia" w:ascii="微软雅黑" w:hAnsi="微软雅黑" w:eastAsia="微软雅黑"/>
          <w:szCs w:val="21"/>
        </w:rPr>
        <w:t>（4）大楼布线主干采用钢制桥架,到每个店铺房间采用PVC线槽.</w:t>
      </w:r>
    </w:p>
    <w:p>
      <w:pPr>
        <w:spacing w:line="360" w:lineRule="auto"/>
        <w:ind w:firstLine="420" w:firstLineChars="200"/>
        <w:rPr>
          <w:rFonts w:ascii="仿宋_GB2312" w:hAnsi="宋体" w:eastAsia="仿宋_GB2312"/>
          <w:sz w:val="28"/>
          <w:szCs w:val="28"/>
        </w:rPr>
      </w:pPr>
      <w:r>
        <w:rPr>
          <w:rFonts w:hint="eastAsia" w:ascii="微软雅黑" w:hAnsi="微软雅黑" w:eastAsia="微软雅黑"/>
          <w:szCs w:val="21"/>
        </w:rPr>
        <w:t>（5） 数据中心机房机柜应满足承重要求，机柜标明数字比列刻度，便于安装，网络机柜为</w:t>
      </w:r>
      <w:r>
        <w:rPr>
          <w:rFonts w:hint="eastAsia" w:ascii="微软雅黑" w:hAnsi="微软雅黑" w:eastAsia="微软雅黑" w:cs="宋体"/>
          <w:color w:val="000000"/>
          <w:kern w:val="0"/>
          <w:szCs w:val="21"/>
        </w:rPr>
        <w:t>2000*600*1200</w:t>
      </w:r>
      <w:r>
        <w:rPr>
          <w:rFonts w:hint="eastAsia" w:ascii="微软雅黑" w:hAnsi="微软雅黑" w:eastAsia="微软雅黑"/>
          <w:szCs w:val="21"/>
        </w:rPr>
        <w:t>，方便管理和维护</w:t>
      </w:r>
      <w:r>
        <w:rPr>
          <w:rFonts w:hint="eastAsia" w:ascii="仿宋_GB2312" w:hAnsi="宋体" w:eastAsia="仿宋_GB2312"/>
          <w:sz w:val="28"/>
          <w:szCs w:val="28"/>
        </w:rPr>
        <w:t>。</w:t>
      </w:r>
    </w:p>
    <w:p>
      <w:pPr>
        <w:pStyle w:val="2"/>
        <w:spacing w:line="0" w:lineRule="atLeast"/>
        <w:rPr>
          <w:rFonts w:ascii="微软雅黑" w:hAnsi="微软雅黑" w:eastAsia="微软雅黑"/>
          <w:sz w:val="32"/>
          <w:szCs w:val="32"/>
        </w:rPr>
      </w:pPr>
      <w:bookmarkStart w:id="102" w:name="_Toc533173074"/>
      <w:bookmarkStart w:id="103" w:name="_Toc532894206"/>
      <w:r>
        <w:rPr>
          <w:rFonts w:hint="eastAsia" w:ascii="微软雅黑" w:hAnsi="微软雅黑" w:eastAsia="微软雅黑"/>
          <w:sz w:val="32"/>
          <w:szCs w:val="32"/>
        </w:rPr>
        <w:t>7售后服务</w:t>
      </w:r>
      <w:bookmarkEnd w:id="102"/>
      <w:bookmarkEnd w:id="103"/>
    </w:p>
    <w:p>
      <w:pPr>
        <w:pStyle w:val="36"/>
        <w:spacing w:line="240" w:lineRule="auto"/>
        <w:ind w:firstLine="420"/>
        <w:rPr>
          <w:rFonts w:ascii="微软雅黑" w:hAnsi="微软雅黑" w:eastAsia="微软雅黑"/>
          <w:spacing w:val="0"/>
          <w:sz w:val="21"/>
          <w:szCs w:val="21"/>
        </w:rPr>
      </w:pPr>
      <w:r>
        <w:rPr>
          <w:rFonts w:hint="eastAsia" w:ascii="微软雅黑" w:hAnsi="微软雅黑" w:eastAsia="微软雅黑"/>
          <w:spacing w:val="0"/>
          <w:sz w:val="21"/>
          <w:szCs w:val="21"/>
        </w:rPr>
        <w:t>实施单位必须为用户提供及时优质的技术支持服务。主要内容如下：及时解决用户故障，解答用户技术问题；提供网络优化建议，网络维护建议，现场服务，远程技术调试。</w:t>
      </w:r>
    </w:p>
    <w:p>
      <w:pPr>
        <w:pStyle w:val="36"/>
        <w:ind w:firstLine="420"/>
        <w:rPr>
          <w:rFonts w:ascii="微软雅黑" w:hAnsi="微软雅黑" w:eastAsia="微软雅黑"/>
          <w:spacing w:val="0"/>
          <w:sz w:val="21"/>
          <w:szCs w:val="21"/>
        </w:rPr>
      </w:pPr>
      <w:r>
        <w:rPr>
          <w:rFonts w:hint="eastAsia" w:ascii="微软雅黑" w:hAnsi="微软雅黑" w:eastAsia="微软雅黑"/>
          <w:spacing w:val="0"/>
          <w:sz w:val="21"/>
          <w:szCs w:val="21"/>
        </w:rPr>
        <w:t>实施单位需在接到报修通知后，0.5个小时内响应并到达现场，查找原因，提出解决方案，直至故障完全消除，系统恢复正常工作为止。</w:t>
      </w:r>
    </w:p>
    <w:p>
      <w:pPr>
        <w:pStyle w:val="36"/>
        <w:ind w:firstLine="420"/>
        <w:rPr>
          <w:rFonts w:ascii="微软雅黑" w:hAnsi="微软雅黑" w:eastAsia="微软雅黑"/>
          <w:spacing w:val="0"/>
          <w:sz w:val="21"/>
          <w:szCs w:val="21"/>
        </w:rPr>
      </w:pPr>
      <w:r>
        <w:rPr>
          <w:rFonts w:hint="eastAsia" w:ascii="微软雅黑" w:hAnsi="微软雅黑" w:eastAsia="微软雅黑"/>
          <w:spacing w:val="0"/>
          <w:sz w:val="21"/>
          <w:szCs w:val="21"/>
        </w:rPr>
        <w:t>服务响应能力指标：</w:t>
      </w:r>
    </w:p>
    <w:p>
      <w:pPr>
        <w:pStyle w:val="36"/>
        <w:ind w:firstLine="420"/>
        <w:rPr>
          <w:rFonts w:ascii="微软雅黑" w:hAnsi="微软雅黑" w:eastAsia="微软雅黑"/>
          <w:spacing w:val="0"/>
          <w:sz w:val="21"/>
          <w:szCs w:val="21"/>
        </w:rPr>
      </w:pPr>
    </w:p>
    <w:tbl>
      <w:tblPr>
        <w:tblStyle w:val="13"/>
        <w:tblW w:w="10137" w:type="dxa"/>
        <w:jc w:val="center"/>
        <w:tblLayout w:type="fixed"/>
        <w:tblCellMar>
          <w:top w:w="0" w:type="dxa"/>
          <w:left w:w="108" w:type="dxa"/>
          <w:bottom w:w="0" w:type="dxa"/>
          <w:right w:w="108" w:type="dxa"/>
        </w:tblCellMar>
      </w:tblPr>
      <w:tblGrid>
        <w:gridCol w:w="2127"/>
        <w:gridCol w:w="2126"/>
        <w:gridCol w:w="3260"/>
        <w:gridCol w:w="2624"/>
      </w:tblGrid>
      <w:tr>
        <w:tblPrEx>
          <w:tblCellMar>
            <w:top w:w="0" w:type="dxa"/>
            <w:left w:w="108" w:type="dxa"/>
            <w:bottom w:w="0" w:type="dxa"/>
            <w:right w:w="108" w:type="dxa"/>
          </w:tblCellMar>
        </w:tblPrEx>
        <w:trPr>
          <w:trHeight w:val="390" w:hRule="atLeast"/>
          <w:jc w:val="center"/>
        </w:trPr>
        <w:tc>
          <w:tcPr>
            <w:tcW w:w="2127" w:type="dxa"/>
            <w:tcBorders>
              <w:top w:val="single" w:color="auto" w:sz="4" w:space="0"/>
              <w:left w:val="single" w:color="auto" w:sz="4" w:space="0"/>
              <w:bottom w:val="single" w:color="auto" w:sz="4" w:space="0"/>
              <w:right w:val="single" w:color="auto" w:sz="4" w:space="0"/>
            </w:tcBorders>
            <w:vAlign w:val="center"/>
          </w:tcPr>
          <w:p>
            <w:pPr>
              <w:pStyle w:val="36"/>
              <w:spacing w:line="0" w:lineRule="atLeast"/>
              <w:ind w:firstLine="0" w:firstLineChars="0"/>
              <w:jc w:val="center"/>
              <w:rPr>
                <w:rFonts w:ascii="微软雅黑" w:hAnsi="微软雅黑" w:eastAsia="微软雅黑"/>
                <w:spacing w:val="0"/>
                <w:sz w:val="21"/>
                <w:szCs w:val="21"/>
              </w:rPr>
            </w:pPr>
            <w:r>
              <w:rPr>
                <w:rFonts w:hint="eastAsia" w:ascii="微软雅黑" w:hAnsi="微软雅黑" w:eastAsia="微软雅黑"/>
                <w:spacing w:val="0"/>
                <w:sz w:val="21"/>
                <w:szCs w:val="21"/>
              </w:rPr>
              <w:t>能力指标</w:t>
            </w:r>
          </w:p>
        </w:tc>
        <w:tc>
          <w:tcPr>
            <w:tcW w:w="2126" w:type="dxa"/>
            <w:tcBorders>
              <w:top w:val="single" w:color="auto" w:sz="4" w:space="0"/>
              <w:left w:val="nil"/>
              <w:bottom w:val="single" w:color="auto" w:sz="4" w:space="0"/>
              <w:right w:val="single" w:color="auto" w:sz="4" w:space="0"/>
            </w:tcBorders>
            <w:vAlign w:val="center"/>
          </w:tcPr>
          <w:p>
            <w:pPr>
              <w:pStyle w:val="36"/>
              <w:spacing w:line="0" w:lineRule="atLeast"/>
              <w:ind w:firstLine="0" w:firstLineChars="0"/>
              <w:jc w:val="center"/>
              <w:rPr>
                <w:rFonts w:ascii="微软雅黑" w:hAnsi="微软雅黑" w:eastAsia="微软雅黑"/>
                <w:spacing w:val="0"/>
                <w:sz w:val="21"/>
                <w:szCs w:val="21"/>
              </w:rPr>
            </w:pPr>
            <w:r>
              <w:rPr>
                <w:rFonts w:hint="eastAsia" w:ascii="微软雅黑" w:hAnsi="微软雅黑" w:eastAsia="微软雅黑"/>
                <w:spacing w:val="0"/>
                <w:sz w:val="21"/>
                <w:szCs w:val="21"/>
              </w:rPr>
              <w:t>故障等级</w:t>
            </w:r>
          </w:p>
        </w:tc>
        <w:tc>
          <w:tcPr>
            <w:tcW w:w="3260" w:type="dxa"/>
            <w:tcBorders>
              <w:top w:val="single" w:color="auto" w:sz="4" w:space="0"/>
              <w:left w:val="nil"/>
              <w:bottom w:val="single" w:color="auto" w:sz="4" w:space="0"/>
              <w:right w:val="single" w:color="auto" w:sz="4" w:space="0"/>
            </w:tcBorders>
            <w:vAlign w:val="center"/>
          </w:tcPr>
          <w:p>
            <w:pPr>
              <w:pStyle w:val="36"/>
              <w:spacing w:line="0" w:lineRule="atLeast"/>
              <w:ind w:firstLine="0" w:firstLineChars="0"/>
              <w:jc w:val="center"/>
              <w:rPr>
                <w:rFonts w:ascii="微软雅黑" w:hAnsi="微软雅黑" w:eastAsia="微软雅黑"/>
                <w:spacing w:val="0"/>
                <w:sz w:val="21"/>
                <w:szCs w:val="21"/>
              </w:rPr>
            </w:pPr>
            <w:r>
              <w:rPr>
                <w:rFonts w:hint="eastAsia" w:ascii="微软雅黑" w:hAnsi="微软雅黑" w:eastAsia="微软雅黑"/>
                <w:spacing w:val="0"/>
                <w:sz w:val="21"/>
                <w:szCs w:val="21"/>
              </w:rPr>
              <w:t>说明</w:t>
            </w:r>
          </w:p>
        </w:tc>
        <w:tc>
          <w:tcPr>
            <w:tcW w:w="2624" w:type="dxa"/>
            <w:tcBorders>
              <w:top w:val="single" w:color="auto" w:sz="4" w:space="0"/>
              <w:left w:val="nil"/>
              <w:bottom w:val="single" w:color="auto" w:sz="4" w:space="0"/>
              <w:right w:val="single" w:color="auto" w:sz="4" w:space="0"/>
            </w:tcBorders>
            <w:vAlign w:val="center"/>
          </w:tcPr>
          <w:p>
            <w:pPr>
              <w:pStyle w:val="36"/>
              <w:spacing w:line="0" w:lineRule="atLeast"/>
              <w:ind w:firstLine="0" w:firstLineChars="0"/>
              <w:jc w:val="center"/>
              <w:rPr>
                <w:rFonts w:ascii="微软雅黑" w:hAnsi="微软雅黑" w:eastAsia="微软雅黑"/>
                <w:spacing w:val="0"/>
                <w:sz w:val="21"/>
                <w:szCs w:val="21"/>
              </w:rPr>
            </w:pPr>
            <w:r>
              <w:rPr>
                <w:rFonts w:hint="eastAsia" w:ascii="微软雅黑" w:hAnsi="微软雅黑" w:eastAsia="微软雅黑"/>
                <w:spacing w:val="0"/>
                <w:sz w:val="21"/>
                <w:szCs w:val="21"/>
              </w:rPr>
              <w:t>指标要求（小时）</w:t>
            </w:r>
          </w:p>
        </w:tc>
      </w:tr>
      <w:tr>
        <w:tblPrEx>
          <w:tblCellMar>
            <w:top w:w="0" w:type="dxa"/>
            <w:left w:w="108" w:type="dxa"/>
            <w:bottom w:w="0" w:type="dxa"/>
            <w:right w:w="108" w:type="dxa"/>
          </w:tblCellMar>
        </w:tblPrEx>
        <w:trPr>
          <w:trHeight w:val="390" w:hRule="atLeast"/>
          <w:jc w:val="center"/>
        </w:trPr>
        <w:tc>
          <w:tcPr>
            <w:tcW w:w="2127" w:type="dxa"/>
            <w:vMerge w:val="restart"/>
            <w:tcBorders>
              <w:top w:val="single" w:color="auto" w:sz="4" w:space="0"/>
              <w:left w:val="single" w:color="auto" w:sz="4" w:space="0"/>
              <w:right w:val="single" w:color="auto" w:sz="4" w:space="0"/>
            </w:tcBorders>
            <w:vAlign w:val="center"/>
          </w:tcPr>
          <w:p>
            <w:pPr>
              <w:pStyle w:val="36"/>
              <w:spacing w:line="0" w:lineRule="atLeast"/>
              <w:ind w:firstLine="0" w:firstLineChars="0"/>
              <w:jc w:val="center"/>
              <w:rPr>
                <w:rFonts w:ascii="微软雅黑" w:hAnsi="微软雅黑" w:eastAsia="微软雅黑"/>
                <w:spacing w:val="0"/>
                <w:sz w:val="21"/>
                <w:szCs w:val="21"/>
              </w:rPr>
            </w:pPr>
            <w:r>
              <w:rPr>
                <w:rFonts w:hint="eastAsia" w:ascii="微软雅黑" w:hAnsi="微软雅黑" w:eastAsia="微软雅黑"/>
                <w:spacing w:val="0"/>
                <w:sz w:val="21"/>
                <w:szCs w:val="21"/>
              </w:rPr>
              <w:t>响应时间</w:t>
            </w:r>
          </w:p>
        </w:tc>
        <w:tc>
          <w:tcPr>
            <w:tcW w:w="2126" w:type="dxa"/>
            <w:tcBorders>
              <w:top w:val="single" w:color="auto" w:sz="4" w:space="0"/>
              <w:left w:val="nil"/>
              <w:bottom w:val="single" w:color="auto" w:sz="4" w:space="0"/>
              <w:right w:val="single" w:color="auto" w:sz="4" w:space="0"/>
            </w:tcBorders>
            <w:vAlign w:val="center"/>
          </w:tcPr>
          <w:p>
            <w:pPr>
              <w:pStyle w:val="36"/>
              <w:spacing w:line="0" w:lineRule="atLeast"/>
              <w:ind w:firstLine="0" w:firstLineChars="0"/>
              <w:jc w:val="center"/>
              <w:rPr>
                <w:rFonts w:ascii="微软雅黑" w:hAnsi="微软雅黑" w:eastAsia="微软雅黑"/>
                <w:spacing w:val="0"/>
                <w:sz w:val="21"/>
                <w:szCs w:val="21"/>
              </w:rPr>
            </w:pPr>
            <w:r>
              <w:rPr>
                <w:rFonts w:hint="eastAsia" w:ascii="微软雅黑" w:hAnsi="微软雅黑" w:eastAsia="微软雅黑"/>
                <w:spacing w:val="0"/>
                <w:sz w:val="21"/>
                <w:szCs w:val="21"/>
              </w:rPr>
              <w:t>严重</w:t>
            </w:r>
          </w:p>
        </w:tc>
        <w:tc>
          <w:tcPr>
            <w:tcW w:w="3260" w:type="dxa"/>
            <w:tcBorders>
              <w:top w:val="single" w:color="auto" w:sz="4" w:space="0"/>
              <w:left w:val="nil"/>
              <w:bottom w:val="single" w:color="auto" w:sz="4" w:space="0"/>
              <w:right w:val="single" w:color="auto" w:sz="4" w:space="0"/>
            </w:tcBorders>
            <w:vAlign w:val="center"/>
          </w:tcPr>
          <w:p>
            <w:pPr>
              <w:pStyle w:val="36"/>
              <w:spacing w:line="0" w:lineRule="atLeast"/>
              <w:ind w:firstLine="0" w:firstLineChars="0"/>
              <w:jc w:val="left"/>
              <w:rPr>
                <w:rFonts w:ascii="微软雅黑" w:hAnsi="微软雅黑" w:eastAsia="微软雅黑"/>
                <w:spacing w:val="0"/>
                <w:sz w:val="21"/>
                <w:szCs w:val="21"/>
              </w:rPr>
            </w:pPr>
            <w:r>
              <w:rPr>
                <w:rFonts w:hint="eastAsia" w:ascii="微软雅黑" w:hAnsi="微软雅黑" w:eastAsia="微软雅黑"/>
                <w:spacing w:val="0"/>
                <w:sz w:val="21"/>
                <w:szCs w:val="21"/>
              </w:rPr>
              <w:t>设备宕机；设备不能启动</w:t>
            </w:r>
          </w:p>
        </w:tc>
        <w:tc>
          <w:tcPr>
            <w:tcW w:w="2624" w:type="dxa"/>
            <w:tcBorders>
              <w:top w:val="single" w:color="auto" w:sz="4" w:space="0"/>
              <w:left w:val="nil"/>
              <w:bottom w:val="single" w:color="auto" w:sz="4" w:space="0"/>
              <w:right w:val="single" w:color="auto" w:sz="4" w:space="0"/>
            </w:tcBorders>
            <w:vAlign w:val="center"/>
          </w:tcPr>
          <w:p>
            <w:pPr>
              <w:pStyle w:val="36"/>
              <w:spacing w:line="0" w:lineRule="atLeast"/>
              <w:ind w:firstLine="0" w:firstLineChars="0"/>
              <w:jc w:val="center"/>
              <w:rPr>
                <w:rFonts w:ascii="微软雅黑" w:hAnsi="微软雅黑" w:eastAsia="微软雅黑"/>
                <w:spacing w:val="0"/>
                <w:sz w:val="21"/>
                <w:szCs w:val="21"/>
              </w:rPr>
            </w:pPr>
            <w:r>
              <w:rPr>
                <w:rFonts w:hint="eastAsia" w:ascii="微软雅黑" w:hAnsi="微软雅黑" w:eastAsia="微软雅黑"/>
                <w:spacing w:val="0"/>
                <w:sz w:val="21"/>
                <w:szCs w:val="21"/>
              </w:rPr>
              <w:t>≤ 0.5</w:t>
            </w:r>
          </w:p>
        </w:tc>
      </w:tr>
      <w:tr>
        <w:tblPrEx>
          <w:tblCellMar>
            <w:top w:w="0" w:type="dxa"/>
            <w:left w:w="108" w:type="dxa"/>
            <w:bottom w:w="0" w:type="dxa"/>
            <w:right w:w="108" w:type="dxa"/>
          </w:tblCellMar>
        </w:tblPrEx>
        <w:trPr>
          <w:trHeight w:val="390" w:hRule="atLeast"/>
          <w:jc w:val="center"/>
        </w:trPr>
        <w:tc>
          <w:tcPr>
            <w:tcW w:w="2127" w:type="dxa"/>
            <w:vMerge w:val="continue"/>
            <w:tcBorders>
              <w:left w:val="single" w:color="auto" w:sz="4" w:space="0"/>
              <w:bottom w:val="single" w:color="auto" w:sz="4" w:space="0"/>
              <w:right w:val="single" w:color="auto" w:sz="4" w:space="0"/>
            </w:tcBorders>
            <w:vAlign w:val="center"/>
          </w:tcPr>
          <w:p>
            <w:pPr>
              <w:pStyle w:val="36"/>
              <w:spacing w:line="0" w:lineRule="atLeast"/>
              <w:ind w:firstLine="420"/>
              <w:jc w:val="center"/>
              <w:rPr>
                <w:rFonts w:ascii="微软雅黑" w:hAnsi="微软雅黑" w:eastAsia="微软雅黑"/>
                <w:spacing w:val="0"/>
                <w:sz w:val="21"/>
                <w:szCs w:val="21"/>
              </w:rPr>
            </w:pPr>
          </w:p>
        </w:tc>
        <w:tc>
          <w:tcPr>
            <w:tcW w:w="2126" w:type="dxa"/>
            <w:tcBorders>
              <w:top w:val="single" w:color="auto" w:sz="4" w:space="0"/>
              <w:left w:val="nil"/>
              <w:bottom w:val="single" w:color="auto" w:sz="4" w:space="0"/>
              <w:right w:val="single" w:color="auto" w:sz="4" w:space="0"/>
            </w:tcBorders>
            <w:vAlign w:val="center"/>
          </w:tcPr>
          <w:p>
            <w:pPr>
              <w:pStyle w:val="36"/>
              <w:spacing w:line="0" w:lineRule="atLeast"/>
              <w:ind w:firstLine="0" w:firstLineChars="0"/>
              <w:jc w:val="center"/>
              <w:rPr>
                <w:rFonts w:ascii="微软雅黑" w:hAnsi="微软雅黑" w:eastAsia="微软雅黑"/>
                <w:spacing w:val="0"/>
                <w:sz w:val="21"/>
                <w:szCs w:val="21"/>
              </w:rPr>
            </w:pPr>
            <w:r>
              <w:rPr>
                <w:rFonts w:hint="eastAsia" w:ascii="微软雅黑" w:hAnsi="微软雅黑" w:eastAsia="微软雅黑"/>
                <w:spacing w:val="0"/>
                <w:sz w:val="21"/>
                <w:szCs w:val="21"/>
              </w:rPr>
              <w:t>一般</w:t>
            </w:r>
          </w:p>
        </w:tc>
        <w:tc>
          <w:tcPr>
            <w:tcW w:w="3260" w:type="dxa"/>
            <w:tcBorders>
              <w:top w:val="single" w:color="auto" w:sz="4" w:space="0"/>
              <w:left w:val="nil"/>
              <w:bottom w:val="single" w:color="auto" w:sz="4" w:space="0"/>
              <w:right w:val="single" w:color="auto" w:sz="4" w:space="0"/>
            </w:tcBorders>
            <w:vAlign w:val="center"/>
          </w:tcPr>
          <w:p>
            <w:pPr>
              <w:pStyle w:val="36"/>
              <w:spacing w:line="0" w:lineRule="atLeast"/>
              <w:ind w:firstLine="0" w:firstLineChars="0"/>
              <w:jc w:val="left"/>
              <w:rPr>
                <w:rFonts w:ascii="微软雅黑" w:hAnsi="微软雅黑" w:eastAsia="微软雅黑"/>
                <w:spacing w:val="0"/>
                <w:sz w:val="21"/>
                <w:szCs w:val="21"/>
              </w:rPr>
            </w:pPr>
            <w:r>
              <w:rPr>
                <w:rFonts w:hint="eastAsia" w:ascii="微软雅黑" w:hAnsi="微软雅黑" w:eastAsia="微软雅黑"/>
                <w:spacing w:val="0"/>
                <w:sz w:val="21"/>
                <w:szCs w:val="21"/>
              </w:rPr>
              <w:t>设备故障指示灯闪烁</w:t>
            </w:r>
          </w:p>
        </w:tc>
        <w:tc>
          <w:tcPr>
            <w:tcW w:w="2624" w:type="dxa"/>
            <w:tcBorders>
              <w:top w:val="single" w:color="auto" w:sz="4" w:space="0"/>
              <w:left w:val="nil"/>
              <w:bottom w:val="single" w:color="auto" w:sz="4" w:space="0"/>
              <w:right w:val="single" w:color="auto" w:sz="4" w:space="0"/>
            </w:tcBorders>
            <w:vAlign w:val="center"/>
          </w:tcPr>
          <w:p>
            <w:pPr>
              <w:pStyle w:val="36"/>
              <w:spacing w:line="0" w:lineRule="atLeast"/>
              <w:ind w:firstLine="945" w:firstLineChars="450"/>
              <w:rPr>
                <w:rFonts w:ascii="微软雅黑" w:hAnsi="微软雅黑" w:eastAsia="微软雅黑"/>
                <w:spacing w:val="0"/>
                <w:sz w:val="21"/>
                <w:szCs w:val="21"/>
              </w:rPr>
            </w:pPr>
            <w:r>
              <w:rPr>
                <w:rFonts w:hint="eastAsia" w:ascii="微软雅黑" w:hAnsi="微软雅黑" w:eastAsia="微软雅黑"/>
                <w:spacing w:val="0"/>
                <w:sz w:val="21"/>
                <w:szCs w:val="21"/>
              </w:rPr>
              <w:t>≤ 1</w:t>
            </w:r>
          </w:p>
        </w:tc>
      </w:tr>
      <w:tr>
        <w:tblPrEx>
          <w:tblCellMar>
            <w:top w:w="0" w:type="dxa"/>
            <w:left w:w="108" w:type="dxa"/>
            <w:bottom w:w="0" w:type="dxa"/>
            <w:right w:w="108" w:type="dxa"/>
          </w:tblCellMar>
        </w:tblPrEx>
        <w:trPr>
          <w:trHeight w:val="390" w:hRule="atLeast"/>
          <w:jc w:val="center"/>
        </w:trPr>
        <w:tc>
          <w:tcPr>
            <w:tcW w:w="2127" w:type="dxa"/>
            <w:vMerge w:val="restart"/>
            <w:tcBorders>
              <w:top w:val="single" w:color="auto" w:sz="4" w:space="0"/>
              <w:left w:val="single" w:color="auto" w:sz="4" w:space="0"/>
              <w:right w:val="single" w:color="auto" w:sz="4" w:space="0"/>
            </w:tcBorders>
            <w:vAlign w:val="center"/>
          </w:tcPr>
          <w:p>
            <w:pPr>
              <w:pStyle w:val="36"/>
              <w:spacing w:line="0" w:lineRule="atLeast"/>
              <w:ind w:firstLine="0" w:firstLineChars="0"/>
              <w:jc w:val="center"/>
              <w:rPr>
                <w:rFonts w:ascii="微软雅黑" w:hAnsi="微软雅黑" w:eastAsia="微软雅黑"/>
                <w:spacing w:val="0"/>
                <w:sz w:val="21"/>
                <w:szCs w:val="21"/>
              </w:rPr>
            </w:pPr>
            <w:r>
              <w:rPr>
                <w:rFonts w:hint="eastAsia" w:ascii="微软雅黑" w:hAnsi="微软雅黑" w:eastAsia="微软雅黑"/>
                <w:spacing w:val="0"/>
                <w:sz w:val="21"/>
                <w:szCs w:val="21"/>
              </w:rPr>
              <w:t>到达现场时间</w:t>
            </w:r>
          </w:p>
        </w:tc>
        <w:tc>
          <w:tcPr>
            <w:tcW w:w="2126" w:type="dxa"/>
            <w:tcBorders>
              <w:top w:val="single" w:color="auto" w:sz="4" w:space="0"/>
              <w:left w:val="nil"/>
              <w:bottom w:val="single" w:color="auto" w:sz="4" w:space="0"/>
              <w:right w:val="single" w:color="auto" w:sz="4" w:space="0"/>
            </w:tcBorders>
            <w:vAlign w:val="center"/>
          </w:tcPr>
          <w:p>
            <w:pPr>
              <w:pStyle w:val="36"/>
              <w:spacing w:line="0" w:lineRule="atLeast"/>
              <w:ind w:firstLine="0" w:firstLineChars="0"/>
              <w:jc w:val="center"/>
              <w:rPr>
                <w:rFonts w:ascii="微软雅黑" w:hAnsi="微软雅黑" w:eastAsia="微软雅黑"/>
                <w:spacing w:val="0"/>
                <w:sz w:val="21"/>
                <w:szCs w:val="21"/>
              </w:rPr>
            </w:pPr>
            <w:r>
              <w:rPr>
                <w:rFonts w:hint="eastAsia" w:ascii="微软雅黑" w:hAnsi="微软雅黑" w:eastAsia="微软雅黑"/>
                <w:spacing w:val="0"/>
                <w:sz w:val="21"/>
                <w:szCs w:val="21"/>
              </w:rPr>
              <w:t>严重</w:t>
            </w:r>
          </w:p>
        </w:tc>
        <w:tc>
          <w:tcPr>
            <w:tcW w:w="3260" w:type="dxa"/>
            <w:tcBorders>
              <w:top w:val="single" w:color="auto" w:sz="4" w:space="0"/>
              <w:left w:val="nil"/>
              <w:bottom w:val="single" w:color="auto" w:sz="4" w:space="0"/>
              <w:right w:val="single" w:color="auto" w:sz="4" w:space="0"/>
            </w:tcBorders>
            <w:vAlign w:val="center"/>
          </w:tcPr>
          <w:p>
            <w:pPr>
              <w:pStyle w:val="36"/>
              <w:spacing w:line="0" w:lineRule="atLeast"/>
              <w:ind w:firstLine="0" w:firstLineChars="0"/>
              <w:jc w:val="left"/>
              <w:rPr>
                <w:rFonts w:ascii="微软雅黑" w:hAnsi="微软雅黑" w:eastAsia="微软雅黑"/>
                <w:spacing w:val="0"/>
                <w:sz w:val="21"/>
                <w:szCs w:val="21"/>
              </w:rPr>
            </w:pPr>
            <w:r>
              <w:rPr>
                <w:rFonts w:hint="eastAsia" w:ascii="微软雅黑" w:hAnsi="微软雅黑" w:eastAsia="微软雅黑"/>
                <w:spacing w:val="0"/>
                <w:sz w:val="21"/>
                <w:szCs w:val="21"/>
              </w:rPr>
              <w:t>设备宕机；设备不能启动</w:t>
            </w:r>
          </w:p>
        </w:tc>
        <w:tc>
          <w:tcPr>
            <w:tcW w:w="2624" w:type="dxa"/>
            <w:tcBorders>
              <w:top w:val="single" w:color="auto" w:sz="4" w:space="0"/>
              <w:left w:val="nil"/>
              <w:bottom w:val="single" w:color="auto" w:sz="4" w:space="0"/>
              <w:right w:val="single" w:color="auto" w:sz="4" w:space="0"/>
            </w:tcBorders>
            <w:vAlign w:val="center"/>
          </w:tcPr>
          <w:p>
            <w:pPr>
              <w:pStyle w:val="36"/>
              <w:spacing w:line="0" w:lineRule="atLeast"/>
              <w:ind w:firstLine="0" w:firstLineChars="0"/>
              <w:jc w:val="center"/>
              <w:rPr>
                <w:rFonts w:ascii="微软雅黑" w:hAnsi="微软雅黑" w:eastAsia="微软雅黑"/>
                <w:spacing w:val="0"/>
                <w:sz w:val="21"/>
                <w:szCs w:val="21"/>
              </w:rPr>
            </w:pPr>
            <w:r>
              <w:rPr>
                <w:rFonts w:hint="eastAsia" w:ascii="微软雅黑" w:hAnsi="微软雅黑" w:eastAsia="微软雅黑"/>
                <w:spacing w:val="0"/>
                <w:sz w:val="21"/>
                <w:szCs w:val="21"/>
              </w:rPr>
              <w:t>≤ 0.5</w:t>
            </w:r>
          </w:p>
        </w:tc>
      </w:tr>
      <w:tr>
        <w:tblPrEx>
          <w:tblCellMar>
            <w:top w:w="0" w:type="dxa"/>
            <w:left w:w="108" w:type="dxa"/>
            <w:bottom w:w="0" w:type="dxa"/>
            <w:right w:w="108" w:type="dxa"/>
          </w:tblCellMar>
        </w:tblPrEx>
        <w:trPr>
          <w:trHeight w:val="390" w:hRule="atLeast"/>
          <w:jc w:val="center"/>
        </w:trPr>
        <w:tc>
          <w:tcPr>
            <w:tcW w:w="2127" w:type="dxa"/>
            <w:vMerge w:val="continue"/>
            <w:tcBorders>
              <w:left w:val="single" w:color="auto" w:sz="4" w:space="0"/>
              <w:bottom w:val="single" w:color="auto" w:sz="4" w:space="0"/>
              <w:right w:val="single" w:color="auto" w:sz="4" w:space="0"/>
            </w:tcBorders>
            <w:vAlign w:val="center"/>
          </w:tcPr>
          <w:p>
            <w:pPr>
              <w:pStyle w:val="36"/>
              <w:spacing w:line="0" w:lineRule="atLeast"/>
              <w:ind w:firstLine="420"/>
              <w:jc w:val="center"/>
              <w:rPr>
                <w:rFonts w:ascii="微软雅黑" w:hAnsi="微软雅黑" w:eastAsia="微软雅黑"/>
                <w:spacing w:val="0"/>
                <w:sz w:val="21"/>
                <w:szCs w:val="21"/>
              </w:rPr>
            </w:pPr>
          </w:p>
        </w:tc>
        <w:tc>
          <w:tcPr>
            <w:tcW w:w="2126" w:type="dxa"/>
            <w:tcBorders>
              <w:top w:val="single" w:color="auto" w:sz="4" w:space="0"/>
              <w:left w:val="nil"/>
              <w:bottom w:val="single" w:color="auto" w:sz="4" w:space="0"/>
              <w:right w:val="single" w:color="auto" w:sz="4" w:space="0"/>
            </w:tcBorders>
            <w:vAlign w:val="center"/>
          </w:tcPr>
          <w:p>
            <w:pPr>
              <w:pStyle w:val="36"/>
              <w:spacing w:line="0" w:lineRule="atLeast"/>
              <w:ind w:firstLine="0" w:firstLineChars="0"/>
              <w:jc w:val="center"/>
              <w:rPr>
                <w:rFonts w:ascii="微软雅黑" w:hAnsi="微软雅黑" w:eastAsia="微软雅黑"/>
                <w:spacing w:val="0"/>
                <w:sz w:val="21"/>
                <w:szCs w:val="21"/>
              </w:rPr>
            </w:pPr>
            <w:r>
              <w:rPr>
                <w:rFonts w:hint="eastAsia" w:ascii="微软雅黑" w:hAnsi="微软雅黑" w:eastAsia="微软雅黑"/>
                <w:spacing w:val="0"/>
                <w:sz w:val="21"/>
                <w:szCs w:val="21"/>
              </w:rPr>
              <w:t>一般</w:t>
            </w:r>
          </w:p>
        </w:tc>
        <w:tc>
          <w:tcPr>
            <w:tcW w:w="3260" w:type="dxa"/>
            <w:tcBorders>
              <w:top w:val="single" w:color="auto" w:sz="4" w:space="0"/>
              <w:left w:val="nil"/>
              <w:bottom w:val="single" w:color="auto" w:sz="4" w:space="0"/>
              <w:right w:val="single" w:color="auto" w:sz="4" w:space="0"/>
            </w:tcBorders>
            <w:vAlign w:val="center"/>
          </w:tcPr>
          <w:p>
            <w:pPr>
              <w:pStyle w:val="36"/>
              <w:spacing w:line="0" w:lineRule="atLeast"/>
              <w:ind w:firstLine="0" w:firstLineChars="0"/>
              <w:jc w:val="left"/>
              <w:rPr>
                <w:rFonts w:ascii="微软雅黑" w:hAnsi="微软雅黑" w:eastAsia="微软雅黑"/>
                <w:spacing w:val="0"/>
                <w:sz w:val="21"/>
                <w:szCs w:val="21"/>
              </w:rPr>
            </w:pPr>
            <w:r>
              <w:rPr>
                <w:rFonts w:hint="eastAsia" w:ascii="微软雅黑" w:hAnsi="微软雅黑" w:eastAsia="微软雅黑"/>
                <w:spacing w:val="0"/>
                <w:sz w:val="21"/>
                <w:szCs w:val="21"/>
              </w:rPr>
              <w:t>设备故障指示灯闪烁</w:t>
            </w:r>
          </w:p>
        </w:tc>
        <w:tc>
          <w:tcPr>
            <w:tcW w:w="2624" w:type="dxa"/>
            <w:tcBorders>
              <w:top w:val="single" w:color="auto" w:sz="4" w:space="0"/>
              <w:left w:val="nil"/>
              <w:bottom w:val="single" w:color="auto" w:sz="4" w:space="0"/>
              <w:right w:val="single" w:color="auto" w:sz="4" w:space="0"/>
            </w:tcBorders>
            <w:vAlign w:val="center"/>
          </w:tcPr>
          <w:p>
            <w:pPr>
              <w:pStyle w:val="36"/>
              <w:spacing w:line="0" w:lineRule="atLeast"/>
              <w:ind w:firstLine="945" w:firstLineChars="450"/>
              <w:rPr>
                <w:rFonts w:ascii="微软雅黑" w:hAnsi="微软雅黑" w:eastAsia="微软雅黑"/>
                <w:spacing w:val="0"/>
                <w:sz w:val="21"/>
                <w:szCs w:val="21"/>
              </w:rPr>
            </w:pPr>
            <w:r>
              <w:rPr>
                <w:rFonts w:hint="eastAsia" w:ascii="微软雅黑" w:hAnsi="微软雅黑" w:eastAsia="微软雅黑"/>
                <w:spacing w:val="0"/>
                <w:sz w:val="21"/>
                <w:szCs w:val="21"/>
              </w:rPr>
              <w:t>≤ 1</w:t>
            </w:r>
          </w:p>
        </w:tc>
      </w:tr>
      <w:tr>
        <w:tblPrEx>
          <w:tblCellMar>
            <w:top w:w="0" w:type="dxa"/>
            <w:left w:w="108" w:type="dxa"/>
            <w:bottom w:w="0" w:type="dxa"/>
            <w:right w:w="108" w:type="dxa"/>
          </w:tblCellMar>
        </w:tblPrEx>
        <w:trPr>
          <w:trHeight w:val="390" w:hRule="atLeast"/>
          <w:jc w:val="center"/>
        </w:trPr>
        <w:tc>
          <w:tcPr>
            <w:tcW w:w="2127" w:type="dxa"/>
            <w:vMerge w:val="restart"/>
            <w:tcBorders>
              <w:top w:val="single" w:color="auto" w:sz="4" w:space="0"/>
              <w:left w:val="single" w:color="auto" w:sz="4" w:space="0"/>
              <w:right w:val="single" w:color="auto" w:sz="4" w:space="0"/>
            </w:tcBorders>
            <w:vAlign w:val="center"/>
          </w:tcPr>
          <w:p>
            <w:pPr>
              <w:pStyle w:val="36"/>
              <w:spacing w:line="0" w:lineRule="atLeast"/>
              <w:ind w:firstLine="0" w:firstLineChars="0"/>
              <w:jc w:val="center"/>
              <w:rPr>
                <w:rFonts w:ascii="微软雅黑" w:hAnsi="微软雅黑" w:eastAsia="微软雅黑"/>
                <w:spacing w:val="0"/>
                <w:sz w:val="21"/>
                <w:szCs w:val="21"/>
              </w:rPr>
            </w:pPr>
            <w:r>
              <w:rPr>
                <w:rFonts w:hint="eastAsia" w:ascii="微软雅黑" w:hAnsi="微软雅黑" w:eastAsia="微软雅黑"/>
                <w:spacing w:val="0"/>
                <w:sz w:val="21"/>
                <w:szCs w:val="21"/>
              </w:rPr>
              <w:t>处理时间</w:t>
            </w:r>
          </w:p>
        </w:tc>
        <w:tc>
          <w:tcPr>
            <w:tcW w:w="2126" w:type="dxa"/>
            <w:tcBorders>
              <w:top w:val="single" w:color="auto" w:sz="4" w:space="0"/>
              <w:left w:val="nil"/>
              <w:bottom w:val="single" w:color="auto" w:sz="4" w:space="0"/>
              <w:right w:val="single" w:color="auto" w:sz="4" w:space="0"/>
            </w:tcBorders>
            <w:vAlign w:val="center"/>
          </w:tcPr>
          <w:p>
            <w:pPr>
              <w:pStyle w:val="36"/>
              <w:spacing w:line="0" w:lineRule="atLeast"/>
              <w:ind w:firstLine="0" w:firstLineChars="0"/>
              <w:jc w:val="center"/>
              <w:rPr>
                <w:rFonts w:ascii="微软雅黑" w:hAnsi="微软雅黑" w:eastAsia="微软雅黑"/>
                <w:spacing w:val="0"/>
                <w:sz w:val="21"/>
                <w:szCs w:val="21"/>
              </w:rPr>
            </w:pPr>
            <w:r>
              <w:rPr>
                <w:rFonts w:hint="eastAsia" w:ascii="微软雅黑" w:hAnsi="微软雅黑" w:eastAsia="微软雅黑"/>
                <w:spacing w:val="0"/>
                <w:sz w:val="21"/>
                <w:szCs w:val="21"/>
              </w:rPr>
              <w:t>严重</w:t>
            </w:r>
          </w:p>
        </w:tc>
        <w:tc>
          <w:tcPr>
            <w:tcW w:w="3260" w:type="dxa"/>
            <w:tcBorders>
              <w:top w:val="single" w:color="auto" w:sz="4" w:space="0"/>
              <w:left w:val="nil"/>
              <w:bottom w:val="single" w:color="auto" w:sz="4" w:space="0"/>
              <w:right w:val="single" w:color="auto" w:sz="4" w:space="0"/>
            </w:tcBorders>
            <w:vAlign w:val="center"/>
          </w:tcPr>
          <w:p>
            <w:pPr>
              <w:pStyle w:val="36"/>
              <w:spacing w:line="0" w:lineRule="atLeast"/>
              <w:ind w:firstLine="0" w:firstLineChars="0"/>
              <w:jc w:val="left"/>
              <w:rPr>
                <w:rFonts w:ascii="微软雅黑" w:hAnsi="微软雅黑" w:eastAsia="微软雅黑"/>
                <w:spacing w:val="0"/>
                <w:sz w:val="21"/>
                <w:szCs w:val="21"/>
              </w:rPr>
            </w:pPr>
            <w:r>
              <w:rPr>
                <w:rFonts w:hint="eastAsia" w:ascii="微软雅黑" w:hAnsi="微软雅黑" w:eastAsia="微软雅黑"/>
                <w:spacing w:val="0"/>
                <w:sz w:val="21"/>
                <w:szCs w:val="21"/>
              </w:rPr>
              <w:t>设备宕机；设备不能启动</w:t>
            </w:r>
          </w:p>
        </w:tc>
        <w:tc>
          <w:tcPr>
            <w:tcW w:w="2624" w:type="dxa"/>
            <w:tcBorders>
              <w:top w:val="single" w:color="auto" w:sz="4" w:space="0"/>
              <w:left w:val="nil"/>
              <w:bottom w:val="single" w:color="auto" w:sz="4" w:space="0"/>
              <w:right w:val="single" w:color="auto" w:sz="4" w:space="0"/>
            </w:tcBorders>
            <w:vAlign w:val="center"/>
          </w:tcPr>
          <w:p>
            <w:pPr>
              <w:pStyle w:val="36"/>
              <w:spacing w:line="0" w:lineRule="atLeast"/>
              <w:ind w:firstLine="945" w:firstLineChars="450"/>
              <w:rPr>
                <w:rFonts w:ascii="微软雅黑" w:hAnsi="微软雅黑" w:eastAsia="微软雅黑"/>
                <w:spacing w:val="0"/>
                <w:sz w:val="21"/>
                <w:szCs w:val="21"/>
              </w:rPr>
            </w:pPr>
            <w:r>
              <w:rPr>
                <w:rFonts w:hint="eastAsia" w:ascii="微软雅黑" w:hAnsi="微软雅黑" w:eastAsia="微软雅黑"/>
                <w:spacing w:val="0"/>
                <w:sz w:val="21"/>
                <w:szCs w:val="21"/>
              </w:rPr>
              <w:t>≤ 4</w:t>
            </w:r>
          </w:p>
        </w:tc>
      </w:tr>
      <w:tr>
        <w:tblPrEx>
          <w:tblCellMar>
            <w:top w:w="0" w:type="dxa"/>
            <w:left w:w="108" w:type="dxa"/>
            <w:bottom w:w="0" w:type="dxa"/>
            <w:right w:w="108" w:type="dxa"/>
          </w:tblCellMar>
        </w:tblPrEx>
        <w:trPr>
          <w:trHeight w:val="390" w:hRule="atLeast"/>
          <w:jc w:val="center"/>
        </w:trPr>
        <w:tc>
          <w:tcPr>
            <w:tcW w:w="2127" w:type="dxa"/>
            <w:vMerge w:val="continue"/>
            <w:tcBorders>
              <w:left w:val="single" w:color="auto" w:sz="4" w:space="0"/>
              <w:bottom w:val="single" w:color="auto" w:sz="4" w:space="0"/>
              <w:right w:val="single" w:color="auto" w:sz="4" w:space="0"/>
            </w:tcBorders>
            <w:vAlign w:val="center"/>
          </w:tcPr>
          <w:p>
            <w:pPr>
              <w:pStyle w:val="36"/>
              <w:spacing w:line="0" w:lineRule="atLeast"/>
              <w:ind w:firstLine="420"/>
              <w:jc w:val="center"/>
              <w:rPr>
                <w:rFonts w:ascii="微软雅黑" w:hAnsi="微软雅黑" w:eastAsia="微软雅黑"/>
                <w:spacing w:val="0"/>
                <w:sz w:val="21"/>
                <w:szCs w:val="21"/>
              </w:rPr>
            </w:pPr>
          </w:p>
        </w:tc>
        <w:tc>
          <w:tcPr>
            <w:tcW w:w="2126" w:type="dxa"/>
            <w:tcBorders>
              <w:top w:val="single" w:color="auto" w:sz="4" w:space="0"/>
              <w:left w:val="nil"/>
              <w:bottom w:val="single" w:color="auto" w:sz="4" w:space="0"/>
              <w:right w:val="single" w:color="auto" w:sz="4" w:space="0"/>
            </w:tcBorders>
            <w:vAlign w:val="center"/>
          </w:tcPr>
          <w:p>
            <w:pPr>
              <w:pStyle w:val="36"/>
              <w:spacing w:line="0" w:lineRule="atLeast"/>
              <w:ind w:firstLine="0" w:firstLineChars="0"/>
              <w:jc w:val="center"/>
              <w:rPr>
                <w:rFonts w:ascii="微软雅黑" w:hAnsi="微软雅黑" w:eastAsia="微软雅黑"/>
                <w:spacing w:val="0"/>
                <w:sz w:val="21"/>
                <w:szCs w:val="21"/>
              </w:rPr>
            </w:pPr>
            <w:r>
              <w:rPr>
                <w:rFonts w:hint="eastAsia" w:ascii="微软雅黑" w:hAnsi="微软雅黑" w:eastAsia="微软雅黑"/>
                <w:spacing w:val="0"/>
                <w:sz w:val="21"/>
                <w:szCs w:val="21"/>
              </w:rPr>
              <w:t>一般</w:t>
            </w:r>
          </w:p>
        </w:tc>
        <w:tc>
          <w:tcPr>
            <w:tcW w:w="3260" w:type="dxa"/>
            <w:tcBorders>
              <w:top w:val="single" w:color="auto" w:sz="4" w:space="0"/>
              <w:left w:val="nil"/>
              <w:bottom w:val="single" w:color="auto" w:sz="4" w:space="0"/>
              <w:right w:val="single" w:color="auto" w:sz="4" w:space="0"/>
            </w:tcBorders>
            <w:vAlign w:val="center"/>
          </w:tcPr>
          <w:p>
            <w:pPr>
              <w:pStyle w:val="36"/>
              <w:spacing w:line="0" w:lineRule="atLeast"/>
              <w:ind w:firstLine="0" w:firstLineChars="0"/>
              <w:jc w:val="left"/>
              <w:rPr>
                <w:rFonts w:ascii="微软雅黑" w:hAnsi="微软雅黑" w:eastAsia="微软雅黑"/>
                <w:spacing w:val="0"/>
                <w:sz w:val="21"/>
                <w:szCs w:val="21"/>
              </w:rPr>
            </w:pPr>
            <w:r>
              <w:rPr>
                <w:rFonts w:hint="eastAsia" w:ascii="微软雅黑" w:hAnsi="微软雅黑" w:eastAsia="微软雅黑"/>
                <w:spacing w:val="0"/>
                <w:sz w:val="21"/>
                <w:szCs w:val="21"/>
              </w:rPr>
              <w:t>设备故障指示灯闪烁</w:t>
            </w:r>
          </w:p>
        </w:tc>
        <w:tc>
          <w:tcPr>
            <w:tcW w:w="2624" w:type="dxa"/>
            <w:tcBorders>
              <w:top w:val="single" w:color="auto" w:sz="4" w:space="0"/>
              <w:left w:val="nil"/>
              <w:bottom w:val="single" w:color="auto" w:sz="4" w:space="0"/>
              <w:right w:val="single" w:color="auto" w:sz="4" w:space="0"/>
            </w:tcBorders>
            <w:vAlign w:val="center"/>
          </w:tcPr>
          <w:p>
            <w:pPr>
              <w:pStyle w:val="36"/>
              <w:spacing w:line="0" w:lineRule="atLeast"/>
              <w:ind w:firstLine="945" w:firstLineChars="450"/>
              <w:rPr>
                <w:rFonts w:ascii="微软雅黑" w:hAnsi="微软雅黑" w:eastAsia="微软雅黑"/>
                <w:spacing w:val="0"/>
                <w:sz w:val="21"/>
                <w:szCs w:val="21"/>
              </w:rPr>
            </w:pPr>
            <w:r>
              <w:rPr>
                <w:rFonts w:hint="eastAsia" w:ascii="微软雅黑" w:hAnsi="微软雅黑" w:eastAsia="微软雅黑"/>
                <w:spacing w:val="0"/>
                <w:sz w:val="21"/>
                <w:szCs w:val="21"/>
              </w:rPr>
              <w:t>≤ 8</w:t>
            </w:r>
          </w:p>
        </w:tc>
      </w:tr>
    </w:tbl>
    <w:p>
      <w:pPr>
        <w:pStyle w:val="24"/>
      </w:pPr>
    </w:p>
    <w:p>
      <w:pPr>
        <w:pStyle w:val="24"/>
      </w:pPr>
    </w:p>
    <w:p>
      <w:pPr>
        <w:pStyle w:val="2"/>
        <w:rPr>
          <w:rFonts w:ascii="微软雅黑" w:hAnsi="微软雅黑" w:eastAsia="微软雅黑" w:cs="宋体"/>
          <w:sz w:val="32"/>
          <w:szCs w:val="32"/>
        </w:rPr>
      </w:pPr>
      <w:bookmarkStart w:id="104" w:name="_Toc533173075"/>
      <w:r>
        <w:rPr>
          <w:rFonts w:hint="eastAsia" w:ascii="微软雅黑" w:hAnsi="微软雅黑" w:eastAsia="微软雅黑" w:cs="宋体"/>
          <w:sz w:val="32"/>
          <w:szCs w:val="32"/>
        </w:rPr>
        <w:t>8</w:t>
      </w:r>
      <w:r>
        <w:rPr>
          <w:rFonts w:hint="eastAsia" w:ascii="微软雅黑" w:hAnsi="微软雅黑" w:eastAsia="微软雅黑"/>
          <w:kern w:val="0"/>
          <w:sz w:val="32"/>
          <w:szCs w:val="32"/>
        </w:rPr>
        <w:t xml:space="preserve"> 响应文件格式</w:t>
      </w:r>
      <w:bookmarkEnd w:id="104"/>
    </w:p>
    <w:p>
      <w:pPr>
        <w:pStyle w:val="3"/>
        <w:rPr>
          <w:rFonts w:ascii="微软雅黑" w:hAnsi="微软雅黑" w:eastAsia="微软雅黑"/>
          <w:sz w:val="30"/>
          <w:szCs w:val="30"/>
        </w:rPr>
      </w:pPr>
      <w:bookmarkStart w:id="105" w:name="_Toc533173076"/>
      <w:bookmarkStart w:id="106" w:name="_Toc516486666"/>
      <w:bookmarkStart w:id="107" w:name="_Toc526784181"/>
      <w:r>
        <w:rPr>
          <w:rFonts w:hint="eastAsia" w:ascii="微软雅黑" w:hAnsi="微软雅黑" w:eastAsia="微软雅黑"/>
          <w:sz w:val="30"/>
          <w:szCs w:val="30"/>
        </w:rPr>
        <w:t>8.1投标函（规范</w:t>
      </w:r>
      <w:r>
        <w:rPr>
          <w:rFonts w:ascii="微软雅黑" w:hAnsi="微软雅黑" w:eastAsia="微软雅黑"/>
          <w:sz w:val="30"/>
          <w:szCs w:val="30"/>
        </w:rPr>
        <w:t>）</w:t>
      </w:r>
      <w:bookmarkEnd w:id="105"/>
      <w:bookmarkEnd w:id="106"/>
      <w:bookmarkEnd w:id="107"/>
    </w:p>
    <w:p>
      <w:pPr>
        <w:widowControl/>
        <w:spacing w:after="240" w:line="360" w:lineRule="auto"/>
        <w:jc w:val="center"/>
        <w:rPr>
          <w:rFonts w:ascii="微软雅黑" w:hAnsi="微软雅黑" w:eastAsia="微软雅黑"/>
          <w:b/>
          <w:szCs w:val="21"/>
        </w:rPr>
      </w:pPr>
      <w:r>
        <w:rPr>
          <w:rFonts w:hint="eastAsia" w:ascii="微软雅黑" w:hAnsi="微软雅黑" w:eastAsia="微软雅黑"/>
          <w:b/>
          <w:szCs w:val="21"/>
        </w:rPr>
        <w:t>投 标 函</w:t>
      </w:r>
    </w:p>
    <w:p>
      <w:pPr>
        <w:spacing w:line="360" w:lineRule="auto"/>
        <w:rPr>
          <w:rFonts w:ascii="微软雅黑" w:hAnsi="微软雅黑" w:eastAsia="微软雅黑"/>
          <w:szCs w:val="21"/>
        </w:rPr>
      </w:pPr>
      <w:r>
        <w:rPr>
          <w:rFonts w:hint="eastAsia" w:ascii="微软雅黑" w:hAnsi="微软雅黑" w:eastAsia="微软雅黑"/>
          <w:szCs w:val="21"/>
        </w:rPr>
        <w:t>致：北国商城股份有限公司</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r>
        <w:rPr>
          <w:rFonts w:hint="eastAsia" w:ascii="微软雅黑" w:hAnsi="微软雅黑" w:eastAsia="微软雅黑"/>
          <w:szCs w:val="21"/>
        </w:rPr>
        <w:t>1</w:t>
      </w:r>
      <w:r>
        <w:rPr>
          <w:rFonts w:hint="eastAsia" w:ascii="微软雅黑" w:hAnsi="微软雅黑" w:eastAsia="微软雅黑"/>
          <w:szCs w:val="21"/>
        </w:rPr>
        <w:tab/>
      </w:r>
      <w:r>
        <w:rPr>
          <w:rFonts w:hint="eastAsia" w:ascii="微软雅黑" w:hAnsi="微软雅黑" w:eastAsia="微软雅黑"/>
          <w:szCs w:val="21"/>
        </w:rPr>
        <w:t>我方己仔细研究、完全理解并满足贵方提供的北国汇新城信息机房建设实施项目招标文件的全部内容，包括招标文件的修改通知（若有），我方愿按照贵方本次招标文件之要求，按我方提交的投标报价清单所述之价格承担并完成信息中心机房建设及</w:t>
      </w:r>
      <w:r>
        <w:rPr>
          <w:rFonts w:ascii="微软雅黑" w:hAnsi="微软雅黑" w:eastAsia="微软雅黑"/>
          <w:szCs w:val="21"/>
        </w:rPr>
        <w:t>验收</w:t>
      </w:r>
      <w:r>
        <w:rPr>
          <w:rFonts w:hint="eastAsia" w:ascii="微软雅黑" w:hAnsi="微软雅黑" w:eastAsia="微软雅黑"/>
          <w:szCs w:val="21"/>
        </w:rPr>
        <w:t>，验收合格并提供信息</w:t>
      </w:r>
      <w:r>
        <w:rPr>
          <w:rFonts w:ascii="微软雅黑" w:hAnsi="微软雅黑" w:eastAsia="微软雅黑"/>
          <w:szCs w:val="21"/>
        </w:rPr>
        <w:t>平台相关支持性服务</w:t>
      </w:r>
      <w:r>
        <w:rPr>
          <w:rFonts w:hint="eastAsia" w:ascii="微软雅黑" w:hAnsi="微软雅黑" w:eastAsia="微软雅黑"/>
          <w:szCs w:val="21"/>
        </w:rPr>
        <w:t>。</w:t>
      </w:r>
    </w:p>
    <w:p>
      <w:pPr>
        <w:spacing w:line="360" w:lineRule="auto"/>
        <w:rPr>
          <w:rFonts w:ascii="微软雅黑" w:hAnsi="微软雅黑" w:eastAsia="微软雅黑"/>
          <w:szCs w:val="21"/>
        </w:rPr>
      </w:pPr>
      <w:r>
        <w:rPr>
          <w:rFonts w:hint="eastAsia" w:ascii="微软雅黑" w:hAnsi="微软雅黑" w:eastAsia="微软雅黑"/>
          <w:szCs w:val="21"/>
        </w:rPr>
        <w:t>2</w:t>
      </w:r>
      <w:r>
        <w:rPr>
          <w:rFonts w:hint="eastAsia" w:ascii="微软雅黑" w:hAnsi="微软雅黑" w:eastAsia="微软雅黑"/>
          <w:szCs w:val="21"/>
        </w:rPr>
        <w:tab/>
      </w:r>
      <w:r>
        <w:rPr>
          <w:rFonts w:hint="eastAsia" w:ascii="微软雅黑" w:hAnsi="微软雅黑" w:eastAsia="微软雅黑"/>
          <w:szCs w:val="21"/>
        </w:rPr>
        <w:t>我方同意在招标文件规定的投标截止日或其后经我方同意延长的时间内(以下简称"期限")遵循本投标文件的规定，并在此期限届满之前对我方具有约束力；如中标，我方投标文件有效期将延至合同终止日为止。</w:t>
      </w:r>
    </w:p>
    <w:p>
      <w:pPr>
        <w:spacing w:line="360" w:lineRule="auto"/>
        <w:rPr>
          <w:rFonts w:ascii="微软雅黑" w:hAnsi="微软雅黑" w:eastAsia="微软雅黑"/>
          <w:szCs w:val="21"/>
        </w:rPr>
      </w:pPr>
      <w:r>
        <w:rPr>
          <w:rFonts w:hint="eastAsia" w:ascii="微软雅黑" w:hAnsi="微软雅黑" w:eastAsia="微软雅黑"/>
          <w:szCs w:val="21"/>
        </w:rPr>
        <w:t>3</w:t>
      </w:r>
      <w:r>
        <w:rPr>
          <w:rFonts w:hint="eastAsia" w:ascii="微软雅黑" w:hAnsi="微软雅黑" w:eastAsia="微软雅黑"/>
          <w:szCs w:val="21"/>
        </w:rPr>
        <w:tab/>
      </w:r>
      <w:r>
        <w:rPr>
          <w:rFonts w:hint="eastAsia" w:ascii="微软雅黑" w:hAnsi="微软雅黑" w:eastAsia="微软雅黑"/>
          <w:szCs w:val="21"/>
        </w:rPr>
        <w:t>投标文件中所有关于投标资格的文件、证明材料、陈述均是真实的、准确的。若有违背，我方愿意承担由此而产生的一切后果。</w:t>
      </w:r>
    </w:p>
    <w:p>
      <w:pPr>
        <w:spacing w:line="360" w:lineRule="auto"/>
        <w:rPr>
          <w:rFonts w:ascii="微软雅黑" w:hAnsi="微软雅黑" w:eastAsia="微软雅黑"/>
          <w:szCs w:val="21"/>
        </w:rPr>
      </w:pPr>
      <w:r>
        <w:rPr>
          <w:rFonts w:hint="eastAsia" w:ascii="微软雅黑" w:hAnsi="微软雅黑" w:eastAsia="微软雅黑"/>
          <w:szCs w:val="21"/>
        </w:rPr>
        <w:t>4</w:t>
      </w:r>
      <w:r>
        <w:rPr>
          <w:rFonts w:hint="eastAsia" w:ascii="微软雅黑" w:hAnsi="微软雅黑" w:eastAsia="微软雅黑"/>
          <w:szCs w:val="21"/>
        </w:rPr>
        <w:tab/>
      </w:r>
      <w:r>
        <w:rPr>
          <w:rFonts w:hint="eastAsia" w:ascii="微软雅黑" w:hAnsi="微软雅黑" w:eastAsia="微软雅黑"/>
          <w:szCs w:val="21"/>
        </w:rPr>
        <w:t>如果贵方有要求，我方愿意进一步提供与本投标有关的任何证据或资料。</w:t>
      </w:r>
    </w:p>
    <w:p>
      <w:pPr>
        <w:spacing w:line="360" w:lineRule="auto"/>
        <w:rPr>
          <w:rFonts w:ascii="微软雅黑" w:hAnsi="微软雅黑" w:eastAsia="微软雅黑"/>
          <w:szCs w:val="21"/>
        </w:rPr>
      </w:pPr>
      <w:r>
        <w:rPr>
          <w:rFonts w:hint="eastAsia" w:ascii="微软雅黑" w:hAnsi="微软雅黑" w:eastAsia="微软雅黑"/>
          <w:szCs w:val="21"/>
        </w:rPr>
        <w:t>5</w:t>
      </w:r>
      <w:r>
        <w:rPr>
          <w:rFonts w:hint="eastAsia" w:ascii="微软雅黑" w:hAnsi="微软雅黑" w:eastAsia="微软雅黑"/>
          <w:szCs w:val="21"/>
        </w:rPr>
        <w:tab/>
      </w:r>
      <w:r>
        <w:rPr>
          <w:rFonts w:hint="eastAsia" w:ascii="微软雅黑" w:hAnsi="微软雅黑" w:eastAsia="微软雅黑"/>
          <w:szCs w:val="21"/>
        </w:rPr>
        <w:t>我方完全理解贵方并无意向在投标阶段与任何投标人建立合约关系，且贵方亦无义务必须接受最低报价的投标或收到的任何投标，同时不需向我方作任何解释。</w:t>
      </w:r>
    </w:p>
    <w:p>
      <w:pPr>
        <w:spacing w:line="360" w:lineRule="auto"/>
        <w:rPr>
          <w:rFonts w:ascii="微软雅黑" w:hAnsi="微软雅黑" w:eastAsia="微软雅黑"/>
          <w:szCs w:val="21"/>
        </w:rPr>
      </w:pPr>
      <w:r>
        <w:rPr>
          <w:rFonts w:hint="eastAsia" w:ascii="微软雅黑" w:hAnsi="微软雅黑" w:eastAsia="微软雅黑"/>
          <w:szCs w:val="21"/>
        </w:rPr>
        <w:t>6</w:t>
      </w:r>
      <w:r>
        <w:rPr>
          <w:rFonts w:hint="eastAsia" w:ascii="微软雅黑" w:hAnsi="微软雅黑" w:eastAsia="微软雅黑"/>
          <w:szCs w:val="21"/>
        </w:rPr>
        <w:tab/>
      </w:r>
      <w:r>
        <w:rPr>
          <w:rFonts w:hint="eastAsia" w:ascii="微软雅黑" w:hAnsi="微软雅黑" w:eastAsia="微软雅黑"/>
          <w:szCs w:val="21"/>
        </w:rPr>
        <w:t>我方同意承担投标过程中产生的所有费用及风险，不因落标而向贵方主张任何费用或权利。</w:t>
      </w:r>
    </w:p>
    <w:p>
      <w:pPr>
        <w:spacing w:line="360" w:lineRule="auto"/>
        <w:rPr>
          <w:rFonts w:ascii="微软雅黑" w:hAnsi="微软雅黑" w:eastAsia="微软雅黑"/>
          <w:szCs w:val="21"/>
        </w:rPr>
      </w:pPr>
      <w:r>
        <w:rPr>
          <w:rFonts w:hint="eastAsia" w:ascii="微软雅黑" w:hAnsi="微软雅黑" w:eastAsia="微软雅黑"/>
          <w:szCs w:val="21"/>
        </w:rPr>
        <w:t xml:space="preserve">                                                  投标人名称（盖章）：</w:t>
      </w:r>
    </w:p>
    <w:p>
      <w:pPr>
        <w:spacing w:line="360" w:lineRule="auto"/>
        <w:rPr>
          <w:rFonts w:ascii="微软雅黑" w:hAnsi="微软雅黑" w:eastAsia="微软雅黑"/>
          <w:szCs w:val="21"/>
        </w:rPr>
      </w:pPr>
      <w:r>
        <w:rPr>
          <w:rFonts w:hint="eastAsia" w:ascii="微软雅黑" w:hAnsi="微软雅黑" w:eastAsia="微软雅黑"/>
          <w:szCs w:val="21"/>
        </w:rPr>
        <w:t xml:space="preserve">                                                  法定代表人或授权代表签署：</w:t>
      </w:r>
    </w:p>
    <w:p>
      <w:pPr>
        <w:rPr>
          <w:rFonts w:ascii="微软雅黑" w:hAnsi="微软雅黑" w:eastAsia="微软雅黑"/>
          <w:szCs w:val="21"/>
        </w:rPr>
      </w:pPr>
      <w:r>
        <w:rPr>
          <w:rFonts w:hint="eastAsia" w:ascii="微软雅黑" w:hAnsi="微软雅黑" w:eastAsia="微软雅黑"/>
          <w:szCs w:val="21"/>
        </w:rPr>
        <w:t xml:space="preserve">                                                  日期：   年    月    日</w:t>
      </w:r>
    </w:p>
    <w:p>
      <w:pPr>
        <w:pStyle w:val="3"/>
        <w:rPr>
          <w:rFonts w:ascii="微软雅黑" w:hAnsi="微软雅黑" w:eastAsia="微软雅黑"/>
          <w:sz w:val="30"/>
          <w:szCs w:val="30"/>
        </w:rPr>
      </w:pPr>
      <w:bookmarkStart w:id="108" w:name="_Toc526784182"/>
      <w:bookmarkStart w:id="109" w:name="_Toc374704127"/>
      <w:bookmarkStart w:id="110" w:name="_Toc533173077"/>
      <w:bookmarkStart w:id="111" w:name="_Toc516486667"/>
      <w:r>
        <w:rPr>
          <w:rFonts w:hint="eastAsia" w:ascii="微软雅黑" w:hAnsi="微软雅黑" w:eastAsia="微软雅黑"/>
          <w:sz w:val="30"/>
          <w:szCs w:val="30"/>
        </w:rPr>
        <w:t>8.2承诺书（规范</w:t>
      </w:r>
      <w:r>
        <w:rPr>
          <w:rFonts w:ascii="微软雅黑" w:hAnsi="微软雅黑" w:eastAsia="微软雅黑"/>
          <w:sz w:val="30"/>
          <w:szCs w:val="30"/>
        </w:rPr>
        <w:t>）</w:t>
      </w:r>
      <w:bookmarkEnd w:id="108"/>
      <w:bookmarkEnd w:id="109"/>
      <w:bookmarkEnd w:id="110"/>
      <w:bookmarkEnd w:id="111"/>
    </w:p>
    <w:p>
      <w:pPr>
        <w:widowControl/>
        <w:spacing w:after="240" w:line="360" w:lineRule="auto"/>
        <w:jc w:val="center"/>
        <w:rPr>
          <w:rFonts w:ascii="微软雅黑" w:hAnsi="微软雅黑" w:eastAsia="微软雅黑"/>
          <w:b/>
          <w:szCs w:val="21"/>
        </w:rPr>
      </w:pPr>
      <w:r>
        <w:rPr>
          <w:rFonts w:hint="eastAsia" w:ascii="微软雅黑" w:hAnsi="微软雅黑" w:eastAsia="微软雅黑"/>
          <w:b/>
          <w:szCs w:val="21"/>
        </w:rPr>
        <w:t>承 诺 书</w:t>
      </w:r>
    </w:p>
    <w:p>
      <w:pPr>
        <w:spacing w:line="360" w:lineRule="auto"/>
        <w:rPr>
          <w:rFonts w:ascii="微软雅黑" w:hAnsi="微软雅黑" w:eastAsia="微软雅黑"/>
          <w:szCs w:val="21"/>
        </w:rPr>
      </w:pPr>
      <w:r>
        <w:rPr>
          <w:rFonts w:hint="eastAsia" w:ascii="微软雅黑" w:hAnsi="微软雅黑" w:eastAsia="微软雅黑"/>
          <w:szCs w:val="21"/>
        </w:rPr>
        <w:t>致：北国商城股份有限公司</w:t>
      </w:r>
    </w:p>
    <w:p>
      <w:pPr>
        <w:spacing w:line="360" w:lineRule="auto"/>
        <w:rPr>
          <w:rFonts w:ascii="微软雅黑" w:hAnsi="微软雅黑" w:eastAsia="微软雅黑"/>
          <w:szCs w:val="21"/>
        </w:rPr>
      </w:pPr>
      <w:r>
        <w:rPr>
          <w:rFonts w:hint="eastAsia" w:ascii="微软雅黑" w:hAnsi="微软雅黑" w:eastAsia="微软雅黑"/>
          <w:szCs w:val="21"/>
        </w:rPr>
        <w:t>我方愿意参加贵方北国汇新城信息机房项目</w:t>
      </w:r>
      <w:r>
        <w:rPr>
          <w:rFonts w:ascii="微软雅黑" w:hAnsi="微软雅黑" w:eastAsia="微软雅黑"/>
          <w:szCs w:val="21"/>
        </w:rPr>
        <w:t>采购</w:t>
      </w:r>
      <w:r>
        <w:rPr>
          <w:rFonts w:hint="eastAsia" w:ascii="微软雅黑" w:hAnsi="微软雅黑" w:eastAsia="微软雅黑"/>
          <w:szCs w:val="21"/>
        </w:rPr>
        <w:t>的竞标。在此，我方郑重承诺如下：</w:t>
      </w:r>
    </w:p>
    <w:p>
      <w:pPr>
        <w:spacing w:line="360" w:lineRule="auto"/>
        <w:rPr>
          <w:rFonts w:ascii="微软雅黑" w:hAnsi="微软雅黑" w:eastAsia="微软雅黑"/>
          <w:szCs w:val="21"/>
        </w:rPr>
      </w:pPr>
      <w:r>
        <w:rPr>
          <w:rFonts w:hint="eastAsia" w:ascii="微软雅黑" w:hAnsi="微软雅黑" w:eastAsia="微软雅黑"/>
          <w:szCs w:val="21"/>
        </w:rPr>
        <w:t>1</w:t>
      </w:r>
      <w:r>
        <w:rPr>
          <w:rFonts w:hint="eastAsia" w:ascii="微软雅黑" w:hAnsi="微软雅黑" w:eastAsia="微软雅黑"/>
          <w:szCs w:val="21"/>
        </w:rPr>
        <w:tab/>
      </w:r>
      <w:r>
        <w:rPr>
          <w:rFonts w:hint="eastAsia" w:ascii="微软雅黑" w:hAnsi="微软雅黑" w:eastAsia="微软雅黑"/>
          <w:szCs w:val="21"/>
        </w:rPr>
        <w:t>我方保证此次投标资料真实可信，如有虚假，我方无条件放弃本次投标资格。</w:t>
      </w:r>
    </w:p>
    <w:p>
      <w:pPr>
        <w:spacing w:line="360" w:lineRule="auto"/>
        <w:rPr>
          <w:rFonts w:ascii="微软雅黑" w:hAnsi="微软雅黑" w:eastAsia="微软雅黑"/>
          <w:szCs w:val="21"/>
        </w:rPr>
      </w:pPr>
      <w:r>
        <w:rPr>
          <w:rFonts w:hint="eastAsia" w:ascii="微软雅黑" w:hAnsi="微软雅黑" w:eastAsia="微软雅黑"/>
          <w:szCs w:val="21"/>
        </w:rPr>
        <w:t>2</w:t>
      </w:r>
      <w:r>
        <w:rPr>
          <w:rFonts w:hint="eastAsia" w:ascii="微软雅黑" w:hAnsi="微软雅黑" w:eastAsia="微软雅黑"/>
          <w:szCs w:val="21"/>
        </w:rPr>
        <w:tab/>
      </w:r>
      <w:r>
        <w:rPr>
          <w:rFonts w:hint="eastAsia" w:ascii="微软雅黑" w:hAnsi="微软雅黑" w:eastAsia="微软雅黑"/>
          <w:szCs w:val="21"/>
        </w:rPr>
        <w:t>我方保证此次投标报价包含招标文件中招标范围内全部内容，如有丢项、漏项或计算错误，我方承诺不再向贵方提出调整报价要求。</w:t>
      </w:r>
    </w:p>
    <w:p>
      <w:pPr>
        <w:spacing w:line="360" w:lineRule="auto"/>
        <w:rPr>
          <w:rFonts w:ascii="微软雅黑" w:hAnsi="微软雅黑" w:eastAsia="微软雅黑"/>
          <w:szCs w:val="21"/>
        </w:rPr>
      </w:pPr>
      <w:r>
        <w:rPr>
          <w:rFonts w:hint="eastAsia" w:ascii="微软雅黑" w:hAnsi="微软雅黑" w:eastAsia="微软雅黑"/>
          <w:szCs w:val="21"/>
        </w:rPr>
        <w:t>3</w:t>
      </w:r>
      <w:r>
        <w:rPr>
          <w:rFonts w:hint="eastAsia" w:ascii="微软雅黑" w:hAnsi="微软雅黑" w:eastAsia="微软雅黑"/>
          <w:szCs w:val="21"/>
        </w:rPr>
        <w:tab/>
      </w:r>
      <w:r>
        <w:rPr>
          <w:rFonts w:hint="eastAsia" w:ascii="微软雅黑" w:hAnsi="微软雅黑" w:eastAsia="微软雅黑"/>
          <w:szCs w:val="21"/>
        </w:rPr>
        <w:t>如我方中标，我方承诺按贵方相关要求及时与贵方签订合同，并完成履约保证金（或履约保函）的交纳。如有变动，我方将书面说明提交贵方并征得贵方同意，如因我方原因致使合同未能与贵方达成一致，或履约保证金(或履约保函)逾期未交且无特殊情况说明，我方无条件放弃中标资格并愿意承担相应责任。</w:t>
      </w:r>
    </w:p>
    <w:p>
      <w:pPr>
        <w:spacing w:line="360" w:lineRule="auto"/>
        <w:rPr>
          <w:rFonts w:ascii="微软雅黑" w:hAnsi="微软雅黑" w:eastAsia="微软雅黑"/>
          <w:szCs w:val="21"/>
        </w:rPr>
      </w:pPr>
      <w:r>
        <w:rPr>
          <w:rFonts w:hint="eastAsia" w:ascii="微软雅黑" w:hAnsi="微软雅黑" w:eastAsia="微软雅黑"/>
          <w:szCs w:val="21"/>
        </w:rPr>
        <w:t>4</w:t>
      </w:r>
      <w:r>
        <w:rPr>
          <w:rFonts w:hint="eastAsia" w:ascii="微软雅黑" w:hAnsi="微软雅黑" w:eastAsia="微软雅黑"/>
          <w:szCs w:val="21"/>
        </w:rPr>
        <w:tab/>
      </w:r>
      <w:r>
        <w:rPr>
          <w:rFonts w:hint="eastAsia" w:ascii="微软雅黑" w:hAnsi="微软雅黑" w:eastAsia="微软雅黑"/>
          <w:szCs w:val="21"/>
        </w:rPr>
        <w:t>如我方中标，合同一经签署，我方严格按照合同相关规定完成相关工作。未经贵方同意，我方承诺不将北国汇新路信息机房的建设</w:t>
      </w:r>
      <w:r>
        <w:rPr>
          <w:rFonts w:ascii="微软雅黑" w:hAnsi="微软雅黑" w:eastAsia="微软雅黑"/>
          <w:szCs w:val="21"/>
        </w:rPr>
        <w:t>及实施</w:t>
      </w:r>
      <w:r>
        <w:rPr>
          <w:rFonts w:hint="eastAsia" w:ascii="微软雅黑" w:hAnsi="微软雅黑" w:eastAsia="微软雅黑"/>
          <w:szCs w:val="21"/>
        </w:rPr>
        <w:t>分包转包给其他单位，否则将承担法律责任。</w:t>
      </w:r>
    </w:p>
    <w:p>
      <w:pPr>
        <w:spacing w:line="360" w:lineRule="auto"/>
        <w:rPr>
          <w:rFonts w:ascii="微软雅黑" w:hAnsi="微软雅黑" w:eastAsia="微软雅黑"/>
          <w:szCs w:val="21"/>
        </w:rPr>
      </w:pPr>
      <w:r>
        <w:rPr>
          <w:rFonts w:hint="eastAsia" w:ascii="微软雅黑" w:hAnsi="微软雅黑" w:eastAsia="微软雅黑"/>
          <w:szCs w:val="21"/>
        </w:rPr>
        <w:t>5</w:t>
      </w:r>
      <w:r>
        <w:rPr>
          <w:rFonts w:hint="eastAsia" w:ascii="微软雅黑" w:hAnsi="微软雅黑" w:eastAsia="微软雅黑"/>
          <w:szCs w:val="21"/>
        </w:rPr>
        <w:tab/>
      </w:r>
      <w:r>
        <w:rPr>
          <w:rFonts w:hint="eastAsia" w:ascii="微软雅黑" w:hAnsi="微软雅黑" w:eastAsia="微软雅黑"/>
          <w:szCs w:val="21"/>
        </w:rPr>
        <w:t>如我方中标，我方承诺按贵方要求实施</w:t>
      </w:r>
      <w:r>
        <w:rPr>
          <w:rFonts w:ascii="微软雅黑" w:hAnsi="微软雅黑" w:eastAsia="微软雅黑"/>
          <w:szCs w:val="21"/>
        </w:rPr>
        <w:t>周期</w:t>
      </w:r>
      <w:r>
        <w:rPr>
          <w:rFonts w:hint="eastAsia" w:ascii="微软雅黑" w:hAnsi="微软雅黑" w:eastAsia="微软雅黑"/>
          <w:szCs w:val="21"/>
        </w:rPr>
        <w:t>按时完成信息机建设</w:t>
      </w:r>
      <w:r>
        <w:rPr>
          <w:rFonts w:ascii="微软雅黑" w:hAnsi="微软雅黑" w:eastAsia="微软雅黑"/>
          <w:szCs w:val="21"/>
        </w:rPr>
        <w:t>的</w:t>
      </w:r>
      <w:r>
        <w:rPr>
          <w:rFonts w:hint="eastAsia" w:ascii="微软雅黑" w:hAnsi="微软雅黑" w:eastAsia="微软雅黑"/>
          <w:szCs w:val="21"/>
        </w:rPr>
        <w:t>安装</w:t>
      </w:r>
      <w:r>
        <w:rPr>
          <w:rFonts w:ascii="微软雅黑" w:hAnsi="微软雅黑" w:eastAsia="微软雅黑"/>
          <w:szCs w:val="21"/>
        </w:rPr>
        <w:t>、</w:t>
      </w:r>
      <w:r>
        <w:rPr>
          <w:rFonts w:hint="eastAsia" w:ascii="微软雅黑" w:hAnsi="微软雅黑" w:eastAsia="微软雅黑"/>
          <w:szCs w:val="21"/>
        </w:rPr>
        <w:t>调试，并确保信息机房施工的</w:t>
      </w:r>
      <w:r>
        <w:rPr>
          <w:rFonts w:ascii="微软雅黑" w:hAnsi="微软雅黑" w:eastAsia="微软雅黑"/>
          <w:szCs w:val="21"/>
        </w:rPr>
        <w:t>质量</w:t>
      </w:r>
      <w:r>
        <w:rPr>
          <w:rFonts w:hint="eastAsia" w:ascii="微软雅黑" w:hAnsi="微软雅黑" w:eastAsia="微软雅黑"/>
          <w:szCs w:val="21"/>
        </w:rPr>
        <w:t>。</w:t>
      </w:r>
    </w:p>
    <w:p>
      <w:pPr>
        <w:spacing w:line="360" w:lineRule="auto"/>
        <w:rPr>
          <w:rFonts w:ascii="微软雅黑" w:hAnsi="微软雅黑" w:eastAsia="微软雅黑"/>
          <w:szCs w:val="21"/>
        </w:rPr>
      </w:pPr>
      <w:r>
        <w:rPr>
          <w:rFonts w:hint="eastAsia" w:ascii="微软雅黑" w:hAnsi="微软雅黑" w:eastAsia="微软雅黑"/>
          <w:szCs w:val="21"/>
        </w:rPr>
        <w:t>6</w:t>
      </w:r>
      <w:r>
        <w:rPr>
          <w:rFonts w:hint="eastAsia" w:ascii="微软雅黑" w:hAnsi="微软雅黑" w:eastAsia="微软雅黑"/>
          <w:szCs w:val="21"/>
        </w:rPr>
        <w:tab/>
      </w:r>
      <w:r>
        <w:rPr>
          <w:rFonts w:hint="eastAsia" w:ascii="微软雅黑" w:hAnsi="微软雅黑" w:eastAsia="微软雅黑"/>
          <w:szCs w:val="21"/>
        </w:rPr>
        <w:t>我方承诺：无论我司是否中标，我司将对本次招标的全部过程及内容严格保密。</w:t>
      </w:r>
    </w:p>
    <w:p>
      <w:pPr>
        <w:spacing w:line="360" w:lineRule="auto"/>
        <w:rPr>
          <w:rFonts w:ascii="微软雅黑" w:hAnsi="微软雅黑" w:eastAsia="微软雅黑"/>
          <w:szCs w:val="21"/>
        </w:rPr>
      </w:pPr>
      <w:r>
        <w:rPr>
          <w:rFonts w:hint="eastAsia" w:ascii="微软雅黑" w:hAnsi="微软雅黑" w:eastAsia="微软雅黑"/>
          <w:szCs w:val="21"/>
        </w:rPr>
        <w:t>7</w:t>
      </w:r>
      <w:r>
        <w:rPr>
          <w:rFonts w:hint="eastAsia" w:ascii="微软雅黑" w:hAnsi="微软雅黑" w:eastAsia="微软雅黑"/>
          <w:szCs w:val="21"/>
        </w:rPr>
        <w:tab/>
      </w:r>
      <w:r>
        <w:rPr>
          <w:rFonts w:hint="eastAsia" w:ascii="微软雅黑" w:hAnsi="微软雅黑" w:eastAsia="微软雅黑"/>
          <w:szCs w:val="21"/>
        </w:rPr>
        <w:t>我方的其他承诺：</w:t>
      </w:r>
    </w:p>
    <w:p>
      <w:pPr>
        <w:spacing w:line="360" w:lineRule="auto"/>
        <w:rPr>
          <w:rFonts w:ascii="微软雅黑" w:hAnsi="微软雅黑" w:eastAsia="微软雅黑"/>
          <w:szCs w:val="21"/>
        </w:rPr>
      </w:pPr>
      <w:r>
        <w:rPr>
          <w:rFonts w:hint="eastAsia" w:ascii="微软雅黑" w:hAnsi="微软雅黑" w:eastAsia="微软雅黑"/>
          <w:szCs w:val="21"/>
        </w:rPr>
        <w:t xml:space="preserve">    本公司承诺服从招标人北国商城股份有限公司北国汇新城项目部的管理，并遵守国家有关法律法规的规定。本公司承诺严格遵守向招标人提供所有施工方案与投标书内容一致。</w:t>
      </w:r>
    </w:p>
    <w:p>
      <w:pPr>
        <w:spacing w:line="360" w:lineRule="auto"/>
        <w:rPr>
          <w:rFonts w:ascii="微软雅黑" w:hAnsi="微软雅黑" w:eastAsia="微软雅黑"/>
          <w:szCs w:val="21"/>
        </w:rPr>
      </w:pPr>
      <w:r>
        <w:rPr>
          <w:rFonts w:hint="eastAsia" w:ascii="微软雅黑" w:hAnsi="微软雅黑" w:eastAsia="微软雅黑"/>
          <w:szCs w:val="21"/>
        </w:rPr>
        <w:t xml:space="preserve">                                                     投标人名称（盖章）：</w:t>
      </w:r>
    </w:p>
    <w:p>
      <w:pPr>
        <w:spacing w:line="360" w:lineRule="auto"/>
        <w:rPr>
          <w:rFonts w:ascii="微软雅黑" w:hAnsi="微软雅黑" w:eastAsia="微软雅黑"/>
          <w:szCs w:val="21"/>
        </w:rPr>
      </w:pPr>
      <w:r>
        <w:rPr>
          <w:rFonts w:hint="eastAsia" w:ascii="微软雅黑" w:hAnsi="微软雅黑" w:eastAsia="微软雅黑"/>
          <w:szCs w:val="21"/>
        </w:rPr>
        <w:t xml:space="preserve">                                                     法定代表人或授权代表：</w:t>
      </w:r>
    </w:p>
    <w:p>
      <w:pPr>
        <w:rPr>
          <w:rFonts w:ascii="微软雅黑" w:hAnsi="微软雅黑" w:eastAsia="微软雅黑"/>
          <w:szCs w:val="21"/>
        </w:rPr>
      </w:pPr>
      <w:r>
        <w:rPr>
          <w:rFonts w:hint="eastAsia" w:ascii="微软雅黑" w:hAnsi="微软雅黑" w:eastAsia="微软雅黑"/>
          <w:szCs w:val="21"/>
        </w:rPr>
        <w:t xml:space="preserve">                                                     日期：   年   月   日</w:t>
      </w:r>
    </w:p>
    <w:p>
      <w:pPr>
        <w:rPr>
          <w:rFonts w:ascii="微软雅黑" w:hAnsi="微软雅黑" w:eastAsia="微软雅黑"/>
          <w:szCs w:val="21"/>
        </w:rPr>
      </w:pPr>
    </w:p>
    <w:p>
      <w:pPr>
        <w:pStyle w:val="3"/>
        <w:rPr>
          <w:rFonts w:ascii="微软雅黑" w:hAnsi="微软雅黑" w:eastAsia="微软雅黑"/>
          <w:sz w:val="30"/>
          <w:szCs w:val="30"/>
        </w:rPr>
      </w:pPr>
      <w:bookmarkStart w:id="112" w:name="_Toc533173078"/>
      <w:bookmarkStart w:id="113" w:name="_Toc526784183"/>
      <w:bookmarkStart w:id="114" w:name="_Toc516486668"/>
      <w:bookmarkStart w:id="115" w:name="_Toc374704128"/>
      <w:r>
        <w:rPr>
          <w:rFonts w:hint="eastAsia" w:ascii="微软雅黑" w:hAnsi="微软雅黑" w:eastAsia="微软雅黑"/>
          <w:sz w:val="30"/>
          <w:szCs w:val="30"/>
        </w:rPr>
        <w:t>8.3投标人企业信息和联络方式一览表（规范</w:t>
      </w:r>
      <w:r>
        <w:rPr>
          <w:rFonts w:ascii="微软雅黑" w:hAnsi="微软雅黑" w:eastAsia="微软雅黑"/>
          <w:sz w:val="30"/>
          <w:szCs w:val="30"/>
        </w:rPr>
        <w:t>）</w:t>
      </w:r>
      <w:bookmarkEnd w:id="112"/>
      <w:bookmarkEnd w:id="113"/>
      <w:bookmarkEnd w:id="114"/>
      <w:bookmarkEnd w:id="115"/>
    </w:p>
    <w:p>
      <w:pPr>
        <w:widowControl/>
        <w:spacing w:after="240" w:line="360" w:lineRule="auto"/>
        <w:jc w:val="center"/>
        <w:rPr>
          <w:rFonts w:ascii="微软雅黑" w:hAnsi="微软雅黑" w:eastAsia="微软雅黑"/>
          <w:b/>
          <w:szCs w:val="21"/>
        </w:rPr>
      </w:pPr>
      <w:r>
        <w:rPr>
          <w:rFonts w:hint="eastAsia" w:ascii="微软雅黑" w:hAnsi="微软雅黑" w:eastAsia="微软雅黑"/>
          <w:b/>
          <w:szCs w:val="21"/>
        </w:rPr>
        <w:t>投标人企业信息和联络方式一览表</w:t>
      </w:r>
    </w:p>
    <w:tbl>
      <w:tblPr>
        <w:tblStyle w:val="13"/>
        <w:tblW w:w="99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3603"/>
        <w:gridCol w:w="5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shd w:val="clear" w:color="auto" w:fill="A5A5A5" w:themeFill="background1" w:themeFillShade="A6"/>
            <w:vAlign w:val="center"/>
          </w:tcPr>
          <w:p>
            <w:pPr>
              <w:spacing w:line="360" w:lineRule="auto"/>
              <w:jc w:val="center"/>
              <w:rPr>
                <w:rFonts w:ascii="微软雅黑" w:hAnsi="微软雅黑" w:eastAsia="微软雅黑"/>
                <w:szCs w:val="21"/>
              </w:rPr>
            </w:pPr>
            <w:r>
              <w:rPr>
                <w:rFonts w:hint="eastAsia" w:ascii="微软雅黑" w:hAnsi="微软雅黑" w:eastAsia="微软雅黑"/>
                <w:szCs w:val="21"/>
              </w:rPr>
              <w:t>序号</w:t>
            </w:r>
          </w:p>
        </w:tc>
        <w:tc>
          <w:tcPr>
            <w:tcW w:w="3603" w:type="dxa"/>
            <w:shd w:val="clear" w:color="auto" w:fill="A5A5A5" w:themeFill="background1" w:themeFillShade="A6"/>
            <w:vAlign w:val="center"/>
          </w:tcPr>
          <w:p>
            <w:pPr>
              <w:spacing w:line="360" w:lineRule="auto"/>
              <w:jc w:val="center"/>
              <w:rPr>
                <w:rFonts w:ascii="微软雅黑" w:hAnsi="微软雅黑" w:eastAsia="微软雅黑"/>
                <w:szCs w:val="21"/>
              </w:rPr>
            </w:pPr>
            <w:r>
              <w:rPr>
                <w:rFonts w:hint="eastAsia" w:ascii="微软雅黑" w:hAnsi="微软雅黑" w:eastAsia="微软雅黑"/>
                <w:szCs w:val="21"/>
              </w:rPr>
              <w:t>内容</w:t>
            </w:r>
          </w:p>
        </w:tc>
        <w:tc>
          <w:tcPr>
            <w:tcW w:w="5670" w:type="dxa"/>
            <w:shd w:val="clear" w:color="auto" w:fill="A5A5A5" w:themeFill="background1" w:themeFillShade="A6"/>
            <w:vAlign w:val="center"/>
          </w:tcPr>
          <w:p>
            <w:pPr>
              <w:spacing w:line="360" w:lineRule="auto"/>
              <w:jc w:val="center"/>
              <w:rPr>
                <w:rFonts w:ascii="微软雅黑" w:hAnsi="微软雅黑" w:eastAsia="微软雅黑"/>
                <w:szCs w:val="21"/>
              </w:rPr>
            </w:pPr>
            <w:r>
              <w:rPr>
                <w:rFonts w:hint="eastAsia" w:ascii="微软雅黑" w:hAnsi="微软雅黑" w:eastAsia="微软雅黑"/>
                <w:szCs w:val="21"/>
              </w:rPr>
              <w:t>投标人填写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1</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投标人名称</w:t>
            </w:r>
          </w:p>
        </w:tc>
        <w:tc>
          <w:tcPr>
            <w:tcW w:w="5670" w:type="dxa"/>
            <w:vAlign w:val="center"/>
          </w:tcPr>
          <w:p>
            <w:pPr>
              <w:spacing w:line="360" w:lineRule="auto"/>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2</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总部地址</w:t>
            </w:r>
          </w:p>
        </w:tc>
        <w:tc>
          <w:tcPr>
            <w:tcW w:w="5670" w:type="dxa"/>
            <w:vAlign w:val="center"/>
          </w:tcPr>
          <w:p>
            <w:pPr>
              <w:spacing w:line="360" w:lineRule="auto"/>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3</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总部联系电话</w:t>
            </w:r>
          </w:p>
        </w:tc>
        <w:tc>
          <w:tcPr>
            <w:tcW w:w="5670" w:type="dxa"/>
            <w:vAlign w:val="center"/>
          </w:tcPr>
          <w:p>
            <w:pPr>
              <w:spacing w:line="360" w:lineRule="auto"/>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4</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总部传真</w:t>
            </w:r>
          </w:p>
        </w:tc>
        <w:tc>
          <w:tcPr>
            <w:tcW w:w="5670" w:type="dxa"/>
            <w:vAlign w:val="center"/>
          </w:tcPr>
          <w:p>
            <w:pPr>
              <w:spacing w:line="360" w:lineRule="auto"/>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5</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投标人指定账号，招投标所有涉及返还费用招标人均将汇入此账号</w:t>
            </w:r>
          </w:p>
        </w:tc>
        <w:tc>
          <w:tcPr>
            <w:tcW w:w="5670" w:type="dxa"/>
            <w:vAlign w:val="center"/>
          </w:tcPr>
          <w:p>
            <w:pPr>
              <w:spacing w:line="360" w:lineRule="auto"/>
              <w:rPr>
                <w:rFonts w:ascii="微软雅黑" w:hAnsi="微软雅黑" w:eastAsia="微软雅黑"/>
                <w:b/>
                <w:szCs w:val="21"/>
              </w:rPr>
            </w:pPr>
            <w:r>
              <w:rPr>
                <w:rFonts w:hint="eastAsia" w:ascii="微软雅黑" w:hAnsi="微软雅黑" w:eastAsia="微软雅黑"/>
                <w:b/>
                <w:szCs w:val="21"/>
              </w:rPr>
              <w:t>开户名称：</w:t>
            </w:r>
          </w:p>
          <w:p>
            <w:pPr>
              <w:spacing w:line="360" w:lineRule="auto"/>
              <w:rPr>
                <w:rFonts w:ascii="微软雅黑" w:hAnsi="微软雅黑" w:eastAsia="微软雅黑"/>
                <w:b/>
                <w:szCs w:val="21"/>
              </w:rPr>
            </w:pPr>
            <w:r>
              <w:rPr>
                <w:rFonts w:hint="eastAsia" w:ascii="微软雅黑" w:hAnsi="微软雅黑" w:eastAsia="微软雅黑"/>
                <w:b/>
                <w:szCs w:val="21"/>
              </w:rPr>
              <w:t>开户银行：</w:t>
            </w:r>
          </w:p>
          <w:p>
            <w:pPr>
              <w:spacing w:line="360" w:lineRule="auto"/>
              <w:rPr>
                <w:rFonts w:ascii="微软雅黑" w:hAnsi="微软雅黑" w:eastAsia="微软雅黑"/>
                <w:szCs w:val="21"/>
              </w:rPr>
            </w:pPr>
            <w:r>
              <w:rPr>
                <w:rFonts w:hint="eastAsia" w:ascii="微软雅黑" w:hAnsi="微软雅黑" w:eastAsia="微软雅黑"/>
                <w:b/>
                <w:szCs w:val="21"/>
              </w:rPr>
              <w:t>开户帐号：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6</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法人授权委托人</w:t>
            </w:r>
            <w:r>
              <w:rPr>
                <w:rFonts w:ascii="微软雅黑" w:hAnsi="微软雅黑" w:eastAsia="微软雅黑"/>
                <w:szCs w:val="21"/>
              </w:rPr>
              <w:t>1</w:t>
            </w:r>
            <w:r>
              <w:rPr>
                <w:rFonts w:hint="eastAsia" w:ascii="微软雅黑" w:hAnsi="微软雅黑" w:eastAsia="微软雅黑"/>
                <w:szCs w:val="21"/>
              </w:rPr>
              <w:t>姓名及职务</w:t>
            </w:r>
          </w:p>
        </w:tc>
        <w:tc>
          <w:tcPr>
            <w:tcW w:w="5670" w:type="dxa"/>
            <w:vAlign w:val="center"/>
          </w:tcPr>
          <w:p>
            <w:pPr>
              <w:spacing w:line="360" w:lineRule="auto"/>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7</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联系电话</w:t>
            </w:r>
            <w:r>
              <w:rPr>
                <w:rFonts w:ascii="微软雅黑" w:hAnsi="微软雅黑" w:eastAsia="微软雅黑"/>
                <w:szCs w:val="21"/>
              </w:rPr>
              <w:t>/email</w:t>
            </w:r>
            <w:r>
              <w:rPr>
                <w:rFonts w:hint="eastAsia" w:ascii="微软雅黑" w:hAnsi="微软雅黑" w:eastAsia="微软雅黑"/>
                <w:szCs w:val="21"/>
              </w:rPr>
              <w:t>地址</w:t>
            </w:r>
          </w:p>
        </w:tc>
        <w:tc>
          <w:tcPr>
            <w:tcW w:w="5670" w:type="dxa"/>
            <w:vAlign w:val="center"/>
          </w:tcPr>
          <w:p>
            <w:pPr>
              <w:spacing w:line="360" w:lineRule="auto"/>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8</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法人授权委托人</w:t>
            </w:r>
            <w:r>
              <w:rPr>
                <w:rFonts w:ascii="微软雅黑" w:hAnsi="微软雅黑" w:eastAsia="微软雅黑"/>
                <w:szCs w:val="21"/>
              </w:rPr>
              <w:t>2</w:t>
            </w:r>
            <w:r>
              <w:rPr>
                <w:rFonts w:hint="eastAsia" w:ascii="微软雅黑" w:hAnsi="微软雅黑" w:eastAsia="微软雅黑"/>
                <w:szCs w:val="21"/>
              </w:rPr>
              <w:t>姓名及职务</w:t>
            </w:r>
          </w:p>
        </w:tc>
        <w:tc>
          <w:tcPr>
            <w:tcW w:w="5670" w:type="dxa"/>
            <w:vAlign w:val="center"/>
          </w:tcPr>
          <w:p>
            <w:pPr>
              <w:spacing w:line="360" w:lineRule="auto"/>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9</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联系电话</w:t>
            </w:r>
            <w:r>
              <w:rPr>
                <w:rFonts w:ascii="微软雅黑" w:hAnsi="微软雅黑" w:eastAsia="微软雅黑"/>
                <w:szCs w:val="21"/>
              </w:rPr>
              <w:t>/email</w:t>
            </w:r>
            <w:r>
              <w:rPr>
                <w:rFonts w:hint="eastAsia" w:ascii="微软雅黑" w:hAnsi="微软雅黑" w:eastAsia="微软雅黑"/>
                <w:szCs w:val="21"/>
              </w:rPr>
              <w:t>地址</w:t>
            </w:r>
          </w:p>
        </w:tc>
        <w:tc>
          <w:tcPr>
            <w:tcW w:w="5670" w:type="dxa"/>
            <w:vAlign w:val="center"/>
          </w:tcPr>
          <w:p>
            <w:pPr>
              <w:spacing w:line="360" w:lineRule="auto"/>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10</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商务洽商期间公司高层来人姓名、职务及联系方式</w:t>
            </w:r>
          </w:p>
        </w:tc>
        <w:tc>
          <w:tcPr>
            <w:tcW w:w="5670" w:type="dxa"/>
            <w:vAlign w:val="center"/>
          </w:tcPr>
          <w:p>
            <w:pPr>
              <w:spacing w:line="360" w:lineRule="auto"/>
              <w:rPr>
                <w:rFonts w:ascii="微软雅黑" w:hAnsi="微软雅黑" w:eastAsia="微软雅黑"/>
                <w:szCs w:val="21"/>
              </w:rPr>
            </w:pPr>
          </w:p>
        </w:tc>
      </w:tr>
    </w:tbl>
    <w:p>
      <w:pPr>
        <w:spacing w:line="360" w:lineRule="auto"/>
        <w:ind w:right="31" w:rightChars="15"/>
        <w:jc w:val="left"/>
        <w:rPr>
          <w:rFonts w:ascii="微软雅黑" w:hAnsi="微软雅黑" w:eastAsia="微软雅黑"/>
          <w:szCs w:val="21"/>
        </w:rPr>
      </w:pPr>
    </w:p>
    <w:p>
      <w:pPr>
        <w:pStyle w:val="7"/>
        <w:wordWrap w:val="0"/>
        <w:snapToGrid w:val="0"/>
        <w:spacing w:before="120" w:line="360" w:lineRule="auto"/>
        <w:ind w:right="480"/>
        <w:jc w:val="center"/>
        <w:rPr>
          <w:rFonts w:ascii="微软雅黑" w:hAnsi="微软雅黑" w:eastAsia="微软雅黑"/>
          <w:bCs/>
          <w:u w:val="single"/>
        </w:rPr>
      </w:pPr>
      <w:r>
        <w:rPr>
          <w:rFonts w:hint="eastAsia" w:ascii="微软雅黑" w:hAnsi="微软雅黑" w:eastAsia="微软雅黑"/>
          <w:color w:val="000000"/>
        </w:rPr>
        <w:t xml:space="preserve">                                                   投标人名称（盖章）</w:t>
      </w:r>
      <w:r>
        <w:rPr>
          <w:rFonts w:hint="eastAsia" w:ascii="微软雅黑" w:hAnsi="微软雅黑" w:eastAsia="微软雅黑"/>
          <w:bCs/>
          <w:color w:val="000000"/>
        </w:rPr>
        <w:t>：</w:t>
      </w:r>
    </w:p>
    <w:p>
      <w:pPr>
        <w:pStyle w:val="7"/>
        <w:wordWrap w:val="0"/>
        <w:snapToGrid w:val="0"/>
        <w:spacing w:before="120" w:line="360" w:lineRule="auto"/>
        <w:ind w:right="420"/>
        <w:rPr>
          <w:rFonts w:ascii="微软雅黑" w:hAnsi="微软雅黑" w:eastAsia="微软雅黑"/>
          <w:bCs/>
          <w:u w:val="single"/>
        </w:rPr>
      </w:pPr>
      <w:r>
        <w:rPr>
          <w:rFonts w:hint="eastAsia" w:ascii="微软雅黑" w:hAnsi="微软雅黑" w:eastAsia="微软雅黑"/>
          <w:color w:val="000000"/>
        </w:rPr>
        <w:t xml:space="preserve">                                                            法定代表人或授权代表签署</w:t>
      </w:r>
      <w:r>
        <w:rPr>
          <w:rFonts w:hint="eastAsia" w:ascii="微软雅黑" w:hAnsi="微软雅黑" w:eastAsia="微软雅黑"/>
          <w:bCs/>
          <w:color w:val="000000"/>
        </w:rPr>
        <w:t>：</w:t>
      </w:r>
    </w:p>
    <w:p>
      <w:pPr>
        <w:tabs>
          <w:tab w:val="left" w:pos="720"/>
          <w:tab w:val="left" w:pos="900"/>
        </w:tabs>
        <w:spacing w:line="360" w:lineRule="auto"/>
        <w:ind w:right="31" w:rightChars="15"/>
        <w:jc w:val="center"/>
        <w:rPr>
          <w:rFonts w:ascii="微软雅黑" w:hAnsi="微软雅黑" w:eastAsia="微软雅黑"/>
          <w:bCs/>
          <w:szCs w:val="21"/>
        </w:rPr>
      </w:pPr>
      <w:r>
        <w:rPr>
          <w:rFonts w:hint="eastAsia" w:ascii="微软雅黑" w:hAnsi="微软雅黑" w:eastAsia="微软雅黑"/>
          <w:color w:val="000000"/>
          <w:szCs w:val="21"/>
        </w:rPr>
        <w:t xml:space="preserve">                                                   日期：  </w:t>
      </w:r>
      <w:r>
        <w:rPr>
          <w:rFonts w:hint="eastAsia" w:ascii="微软雅黑" w:hAnsi="微软雅黑" w:eastAsia="微软雅黑"/>
          <w:bCs/>
          <w:szCs w:val="21"/>
        </w:rPr>
        <w:t>年    月    日</w:t>
      </w:r>
    </w:p>
    <w:p>
      <w:pPr>
        <w:rPr>
          <w:rFonts w:ascii="微软雅黑" w:hAnsi="微软雅黑" w:eastAsia="微软雅黑"/>
          <w:szCs w:val="21"/>
        </w:rPr>
      </w:pPr>
    </w:p>
    <w:p>
      <w:pPr>
        <w:rPr>
          <w:rFonts w:ascii="微软雅黑" w:hAnsi="微软雅黑" w:eastAsia="微软雅黑"/>
          <w:szCs w:val="21"/>
        </w:rPr>
      </w:pPr>
    </w:p>
    <w:p>
      <w:pPr>
        <w:pStyle w:val="3"/>
        <w:rPr>
          <w:rFonts w:ascii="微软雅黑" w:hAnsi="微软雅黑" w:eastAsia="微软雅黑"/>
          <w:sz w:val="30"/>
          <w:szCs w:val="30"/>
        </w:rPr>
      </w:pPr>
      <w:bookmarkStart w:id="116" w:name="_Toc533173079"/>
      <w:bookmarkStart w:id="117" w:name="_Toc526784184"/>
      <w:bookmarkStart w:id="118" w:name="_Toc516486669"/>
      <w:bookmarkStart w:id="119" w:name="_Toc374704129"/>
      <w:r>
        <w:rPr>
          <w:rFonts w:hint="eastAsia" w:ascii="微软雅黑" w:hAnsi="微软雅黑" w:eastAsia="微软雅黑"/>
          <w:sz w:val="30"/>
          <w:szCs w:val="30"/>
        </w:rPr>
        <w:t>8.4法定代表人身份</w:t>
      </w:r>
      <w:r>
        <w:rPr>
          <w:rFonts w:ascii="微软雅黑" w:hAnsi="微软雅黑" w:eastAsia="微软雅黑"/>
          <w:sz w:val="30"/>
          <w:szCs w:val="30"/>
        </w:rPr>
        <w:t>证明书</w:t>
      </w:r>
      <w:r>
        <w:rPr>
          <w:rFonts w:hint="eastAsia" w:ascii="微软雅黑" w:hAnsi="微软雅黑" w:eastAsia="微软雅黑"/>
          <w:sz w:val="30"/>
          <w:szCs w:val="30"/>
        </w:rPr>
        <w:t>（规范</w:t>
      </w:r>
      <w:r>
        <w:rPr>
          <w:rFonts w:ascii="微软雅黑" w:hAnsi="微软雅黑" w:eastAsia="微软雅黑"/>
          <w:sz w:val="30"/>
          <w:szCs w:val="30"/>
        </w:rPr>
        <w:t>）</w:t>
      </w:r>
      <w:bookmarkEnd w:id="116"/>
      <w:bookmarkEnd w:id="117"/>
      <w:bookmarkEnd w:id="118"/>
      <w:bookmarkEnd w:id="119"/>
    </w:p>
    <w:p>
      <w:pPr>
        <w:widowControl/>
        <w:spacing w:after="240" w:line="360" w:lineRule="auto"/>
        <w:jc w:val="center"/>
        <w:rPr>
          <w:rFonts w:ascii="微软雅黑" w:hAnsi="微软雅黑" w:eastAsia="微软雅黑"/>
          <w:b/>
          <w:szCs w:val="21"/>
        </w:rPr>
      </w:pPr>
      <w:r>
        <w:rPr>
          <w:rFonts w:hint="eastAsia" w:ascii="微软雅黑" w:hAnsi="微软雅黑" w:eastAsia="微软雅黑"/>
          <w:b/>
          <w:szCs w:val="21"/>
        </w:rPr>
        <w:t>法定</w:t>
      </w:r>
      <w:r>
        <w:rPr>
          <w:rFonts w:ascii="微软雅黑" w:hAnsi="微软雅黑" w:eastAsia="微软雅黑"/>
          <w:b/>
          <w:szCs w:val="21"/>
        </w:rPr>
        <w:t>代表人身份证明书</w:t>
      </w:r>
    </w:p>
    <w:p>
      <w:pPr>
        <w:spacing w:line="360" w:lineRule="auto"/>
        <w:rPr>
          <w:rFonts w:ascii="微软雅黑" w:hAnsi="微软雅黑" w:eastAsia="微软雅黑"/>
          <w:szCs w:val="21"/>
        </w:rPr>
      </w:pPr>
      <w:r>
        <w:rPr>
          <w:rFonts w:hint="eastAsia" w:ascii="微软雅黑" w:hAnsi="微软雅黑" w:eastAsia="微软雅黑"/>
          <w:szCs w:val="21"/>
        </w:rPr>
        <w:t>单位名称：</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r>
        <w:rPr>
          <w:rFonts w:hint="eastAsia" w:ascii="微软雅黑" w:hAnsi="微软雅黑" w:eastAsia="微软雅黑"/>
          <w:szCs w:val="21"/>
        </w:rPr>
        <w:t>单位性质：</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r>
        <w:rPr>
          <w:rFonts w:hint="eastAsia" w:ascii="微软雅黑" w:hAnsi="微软雅黑" w:eastAsia="微软雅黑"/>
          <w:szCs w:val="21"/>
        </w:rPr>
        <w:t>地    址：</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r>
        <w:rPr>
          <w:rFonts w:hint="eastAsia" w:ascii="微软雅黑" w:hAnsi="微软雅黑" w:eastAsia="微软雅黑"/>
          <w:szCs w:val="21"/>
        </w:rPr>
        <w:t>成立时间：年月日</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r>
        <w:rPr>
          <w:rFonts w:hint="eastAsia" w:ascii="微软雅黑" w:hAnsi="微软雅黑" w:eastAsia="微软雅黑"/>
          <w:szCs w:val="21"/>
        </w:rPr>
        <w:t xml:space="preserve">经营期限： </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r>
        <w:rPr>
          <w:rFonts w:hint="eastAsia" w:ascii="微软雅黑" w:hAnsi="微软雅黑" w:eastAsia="微软雅黑"/>
          <w:szCs w:val="21"/>
        </w:rPr>
        <w:t>姓名：性别：年龄：职务：</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r>
        <w:rPr>
          <w:rFonts w:hint="eastAsia" w:ascii="微软雅黑" w:hAnsi="微软雅黑" w:eastAsia="微软雅黑"/>
          <w:szCs w:val="21"/>
        </w:rPr>
        <w:t>系</w:t>
      </w:r>
      <w:r>
        <w:rPr>
          <w:rFonts w:hint="eastAsia" w:ascii="微软雅黑" w:hAnsi="微软雅黑" w:eastAsia="微软雅黑"/>
          <w:szCs w:val="21"/>
          <w:u w:val="single"/>
        </w:rPr>
        <w:t xml:space="preserve">          （投标人名称）         </w:t>
      </w:r>
      <w:r>
        <w:rPr>
          <w:rFonts w:hint="eastAsia" w:ascii="微软雅黑" w:hAnsi="微软雅黑" w:eastAsia="微软雅黑"/>
          <w:szCs w:val="21"/>
        </w:rPr>
        <w:t>的法定代表人。（后附身份证复印件）</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r>
        <w:rPr>
          <w:rFonts w:hint="eastAsia" w:ascii="微软雅黑" w:hAnsi="微软雅黑" w:eastAsia="微软雅黑"/>
          <w:szCs w:val="21"/>
        </w:rPr>
        <w:t>特此证明。</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p>
    <w:p>
      <w:pPr>
        <w:wordWrap w:val="0"/>
        <w:spacing w:line="360" w:lineRule="auto"/>
        <w:ind w:right="480"/>
        <w:rPr>
          <w:rFonts w:ascii="微软雅黑" w:hAnsi="微软雅黑" w:eastAsia="微软雅黑"/>
          <w:szCs w:val="21"/>
        </w:rPr>
      </w:pPr>
      <w:r>
        <w:rPr>
          <w:rFonts w:hint="eastAsia" w:ascii="微软雅黑" w:hAnsi="微软雅黑" w:eastAsia="微软雅黑"/>
          <w:szCs w:val="21"/>
        </w:rPr>
        <w:t xml:space="preserve">                                                   投标人名称（盖章）：</w:t>
      </w:r>
    </w:p>
    <w:p>
      <w:pPr>
        <w:rPr>
          <w:rFonts w:ascii="微软雅黑" w:hAnsi="微软雅黑" w:eastAsia="微软雅黑"/>
          <w:szCs w:val="21"/>
        </w:rPr>
      </w:pPr>
      <w:r>
        <w:rPr>
          <w:rFonts w:hint="eastAsia" w:ascii="微软雅黑" w:hAnsi="微软雅黑" w:eastAsia="微软雅黑"/>
          <w:szCs w:val="21"/>
        </w:rPr>
        <w:t xml:space="preserve">                                                   日期：      年      月      日</w:t>
      </w:r>
    </w:p>
    <w:p>
      <w:pPr>
        <w:rPr>
          <w:rFonts w:ascii="微软雅黑" w:hAnsi="微软雅黑" w:eastAsia="微软雅黑"/>
          <w:szCs w:val="21"/>
        </w:rPr>
      </w:pPr>
    </w:p>
    <w:p>
      <w:pPr>
        <w:pStyle w:val="3"/>
        <w:rPr>
          <w:rFonts w:ascii="微软雅黑" w:hAnsi="微软雅黑" w:eastAsia="微软雅黑"/>
          <w:sz w:val="30"/>
          <w:szCs w:val="30"/>
        </w:rPr>
      </w:pPr>
      <w:bookmarkStart w:id="120" w:name="_Toc374704130"/>
      <w:bookmarkStart w:id="121" w:name="_Toc533173080"/>
      <w:bookmarkStart w:id="122" w:name="_Toc516486670"/>
      <w:bookmarkStart w:id="123" w:name="_Toc526784185"/>
      <w:r>
        <w:rPr>
          <w:rFonts w:hint="eastAsia" w:ascii="微软雅黑" w:hAnsi="微软雅黑" w:eastAsia="微软雅黑"/>
          <w:sz w:val="30"/>
          <w:szCs w:val="30"/>
        </w:rPr>
        <w:t>8.5企业法人及法定代表人授权委托书（规范</w:t>
      </w:r>
      <w:r>
        <w:rPr>
          <w:rFonts w:ascii="微软雅黑" w:hAnsi="微软雅黑" w:eastAsia="微软雅黑"/>
          <w:sz w:val="30"/>
          <w:szCs w:val="30"/>
        </w:rPr>
        <w:t>）</w:t>
      </w:r>
      <w:bookmarkEnd w:id="120"/>
      <w:bookmarkEnd w:id="121"/>
      <w:bookmarkEnd w:id="122"/>
      <w:bookmarkEnd w:id="123"/>
    </w:p>
    <w:p>
      <w:pPr>
        <w:widowControl/>
        <w:spacing w:after="240" w:line="360" w:lineRule="auto"/>
        <w:jc w:val="center"/>
        <w:rPr>
          <w:rFonts w:ascii="微软雅黑" w:hAnsi="微软雅黑" w:eastAsia="微软雅黑"/>
          <w:b/>
          <w:szCs w:val="21"/>
        </w:rPr>
      </w:pPr>
      <w:r>
        <w:rPr>
          <w:rFonts w:hint="eastAsia" w:ascii="微软雅黑" w:hAnsi="微软雅黑" w:eastAsia="微软雅黑"/>
          <w:b/>
          <w:szCs w:val="21"/>
        </w:rPr>
        <w:t>企业法人及法定代表人授权委托书</w:t>
      </w:r>
    </w:p>
    <w:p>
      <w:pPr>
        <w:spacing w:line="360" w:lineRule="auto"/>
        <w:rPr>
          <w:rFonts w:ascii="微软雅黑" w:hAnsi="微软雅黑" w:eastAsia="微软雅黑"/>
          <w:szCs w:val="21"/>
        </w:rPr>
      </w:pPr>
      <w:r>
        <w:rPr>
          <w:rFonts w:hint="eastAsia" w:ascii="微软雅黑" w:hAnsi="微软雅黑" w:eastAsia="微软雅黑"/>
          <w:szCs w:val="21"/>
        </w:rPr>
        <w:t>致：北国商城股份有限公司</w:t>
      </w:r>
    </w:p>
    <w:p>
      <w:pPr>
        <w:spacing w:line="360" w:lineRule="auto"/>
        <w:rPr>
          <w:rFonts w:ascii="微软雅黑" w:hAnsi="微软雅黑" w:eastAsia="微软雅黑"/>
          <w:szCs w:val="21"/>
        </w:rPr>
      </w:pPr>
    </w:p>
    <w:p>
      <w:pPr>
        <w:spacing w:line="360" w:lineRule="auto"/>
        <w:ind w:firstLine="420"/>
        <w:jc w:val="left"/>
        <w:rPr>
          <w:rFonts w:ascii="微软雅黑" w:hAnsi="微软雅黑" w:eastAsia="微软雅黑"/>
          <w:szCs w:val="21"/>
        </w:rPr>
      </w:pPr>
      <w:r>
        <w:rPr>
          <w:rFonts w:hint="eastAsia" w:ascii="微软雅黑" w:hAnsi="微软雅黑" w:eastAsia="微软雅黑"/>
          <w:szCs w:val="21"/>
          <w:u w:val="single"/>
        </w:rPr>
        <w:t xml:space="preserve">       （投标人名称）       </w:t>
      </w:r>
      <w:r>
        <w:rPr>
          <w:rFonts w:hint="eastAsia" w:ascii="微软雅黑" w:hAnsi="微软雅黑" w:eastAsia="微软雅黑"/>
          <w:szCs w:val="21"/>
        </w:rPr>
        <w:t>法定代表人授权</w:t>
      </w:r>
      <w:r>
        <w:rPr>
          <w:rFonts w:hint="eastAsia" w:ascii="微软雅黑" w:hAnsi="微软雅黑" w:eastAsia="微软雅黑"/>
          <w:szCs w:val="21"/>
          <w:u w:val="single"/>
        </w:rPr>
        <w:t xml:space="preserve"> （全权代表姓名、职务） </w:t>
      </w:r>
      <w:r>
        <w:rPr>
          <w:rFonts w:hint="eastAsia" w:ascii="微软雅黑" w:hAnsi="微软雅黑" w:eastAsia="微软雅黑"/>
          <w:szCs w:val="21"/>
        </w:rPr>
        <w:t>为全权代表，参加贵方组织的</w:t>
      </w:r>
      <w:r>
        <w:rPr>
          <w:rFonts w:hint="eastAsia" w:ascii="微软雅黑" w:hAnsi="微软雅黑" w:eastAsia="微软雅黑"/>
          <w:szCs w:val="21"/>
          <w:u w:val="single"/>
        </w:rPr>
        <w:t xml:space="preserve">北国商城股份有限公司北国汇新城信息机房建设项目 </w:t>
      </w:r>
      <w:r>
        <w:rPr>
          <w:rFonts w:hint="eastAsia" w:ascii="微软雅黑" w:hAnsi="微软雅黑" w:eastAsia="微软雅黑"/>
          <w:szCs w:val="21"/>
        </w:rPr>
        <w:t>招标活动，全权处理我方在投标活动中的一切事宜。</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p>
    <w:p>
      <w:pPr>
        <w:wordWrap w:val="0"/>
        <w:spacing w:line="360" w:lineRule="auto"/>
        <w:ind w:right="780"/>
        <w:jc w:val="center"/>
        <w:rPr>
          <w:rFonts w:ascii="微软雅黑" w:hAnsi="微软雅黑" w:eastAsia="微软雅黑"/>
          <w:szCs w:val="21"/>
        </w:rPr>
      </w:pPr>
      <w:r>
        <w:rPr>
          <w:rFonts w:hint="eastAsia" w:ascii="微软雅黑" w:hAnsi="微软雅黑" w:eastAsia="微软雅黑"/>
          <w:szCs w:val="21"/>
        </w:rPr>
        <w:t xml:space="preserve">                                                        法定代表人（签字）：</w:t>
      </w:r>
    </w:p>
    <w:p>
      <w:pPr>
        <w:wordWrap w:val="0"/>
        <w:spacing w:line="360" w:lineRule="auto"/>
        <w:ind w:right="780"/>
        <w:jc w:val="center"/>
        <w:rPr>
          <w:rFonts w:ascii="微软雅黑" w:hAnsi="微软雅黑" w:eastAsia="微软雅黑"/>
          <w:szCs w:val="21"/>
        </w:rPr>
      </w:pPr>
      <w:r>
        <w:rPr>
          <w:rFonts w:hint="eastAsia" w:ascii="微软雅黑" w:hAnsi="微软雅黑" w:eastAsia="微软雅黑"/>
          <w:szCs w:val="21"/>
        </w:rPr>
        <w:t xml:space="preserve">                                                        投标人名称（盖章）：</w:t>
      </w:r>
    </w:p>
    <w:p>
      <w:pPr>
        <w:wordWrap w:val="0"/>
        <w:spacing w:line="360" w:lineRule="auto"/>
        <w:ind w:right="480"/>
        <w:rPr>
          <w:rFonts w:ascii="微软雅黑" w:hAnsi="微软雅黑" w:eastAsia="微软雅黑"/>
          <w:szCs w:val="21"/>
        </w:rPr>
      </w:pPr>
      <w:r>
        <w:rPr>
          <w:rFonts w:hint="eastAsia" w:ascii="微软雅黑" w:hAnsi="微软雅黑" w:eastAsia="微软雅黑"/>
          <w:szCs w:val="21"/>
        </w:rPr>
        <w:t xml:space="preserve">                                                             日期：</w:t>
      </w:r>
    </w:p>
    <w:p>
      <w:pPr>
        <w:spacing w:line="360" w:lineRule="auto"/>
        <w:jc w:val="right"/>
        <w:rPr>
          <w:rFonts w:ascii="微软雅黑" w:hAnsi="微软雅黑" w:eastAsia="微软雅黑"/>
          <w:szCs w:val="21"/>
        </w:rPr>
      </w:pPr>
    </w:p>
    <w:p>
      <w:pPr>
        <w:spacing w:line="360" w:lineRule="auto"/>
        <w:jc w:val="right"/>
        <w:rPr>
          <w:rFonts w:ascii="微软雅黑" w:hAnsi="微软雅黑" w:eastAsia="微软雅黑"/>
          <w:szCs w:val="21"/>
        </w:rPr>
      </w:pPr>
    </w:p>
    <w:p>
      <w:pPr>
        <w:wordWrap w:val="0"/>
        <w:spacing w:line="360" w:lineRule="auto"/>
        <w:ind w:right="900"/>
        <w:rPr>
          <w:rFonts w:ascii="微软雅黑" w:hAnsi="微软雅黑" w:eastAsia="微软雅黑"/>
          <w:szCs w:val="21"/>
        </w:rPr>
      </w:pPr>
      <w:r>
        <w:rPr>
          <w:rFonts w:hint="eastAsia" w:ascii="微软雅黑" w:hAnsi="微软雅黑" w:eastAsia="微软雅黑"/>
          <w:szCs w:val="21"/>
        </w:rPr>
        <w:t xml:space="preserve">                                                              全权代表（签字）：</w:t>
      </w:r>
    </w:p>
    <w:p>
      <w:pPr>
        <w:wordWrap w:val="0"/>
        <w:spacing w:line="360" w:lineRule="auto"/>
        <w:ind w:right="480"/>
        <w:rPr>
          <w:rFonts w:ascii="微软雅黑" w:hAnsi="微软雅黑" w:eastAsia="微软雅黑"/>
          <w:szCs w:val="21"/>
        </w:rPr>
      </w:pPr>
      <w:r>
        <w:rPr>
          <w:rFonts w:hint="eastAsia" w:ascii="微软雅黑" w:hAnsi="微软雅黑" w:eastAsia="微软雅黑"/>
          <w:szCs w:val="21"/>
        </w:rPr>
        <w:t xml:space="preserve">                                                              日期：</w:t>
      </w:r>
    </w:p>
    <w:p>
      <w:pPr>
        <w:rPr>
          <w:rFonts w:ascii="微软雅黑" w:hAnsi="微软雅黑" w:eastAsia="微软雅黑"/>
          <w:szCs w:val="21"/>
        </w:rPr>
      </w:pPr>
    </w:p>
    <w:p>
      <w:pPr>
        <w:rPr>
          <w:rFonts w:ascii="微软雅黑" w:hAnsi="微软雅黑" w:eastAsia="微软雅黑"/>
          <w:szCs w:val="21"/>
        </w:rPr>
      </w:pPr>
    </w:p>
    <w:p>
      <w:pPr>
        <w:rPr>
          <w:rFonts w:ascii="微软雅黑" w:hAnsi="微软雅黑" w:eastAsia="微软雅黑"/>
          <w:szCs w:val="21"/>
        </w:rPr>
      </w:pPr>
    </w:p>
    <w:p>
      <w:pPr>
        <w:pStyle w:val="3"/>
        <w:rPr>
          <w:rFonts w:ascii="微软雅黑" w:hAnsi="微软雅黑" w:eastAsia="微软雅黑"/>
          <w:sz w:val="30"/>
          <w:szCs w:val="30"/>
        </w:rPr>
      </w:pPr>
      <w:bookmarkStart w:id="124" w:name="_Toc533173081"/>
      <w:bookmarkStart w:id="125" w:name="_Toc526784186"/>
      <w:bookmarkStart w:id="126" w:name="_Toc516486671"/>
      <w:bookmarkStart w:id="127" w:name="_Toc374704131"/>
      <w:r>
        <w:rPr>
          <w:rFonts w:hint="eastAsia" w:ascii="微软雅黑" w:hAnsi="微软雅黑" w:eastAsia="微软雅黑"/>
          <w:sz w:val="30"/>
          <w:szCs w:val="30"/>
        </w:rPr>
        <w:t>8.6</w:t>
      </w:r>
      <w:r>
        <w:rPr>
          <w:rFonts w:ascii="微软雅黑" w:hAnsi="微软雅黑" w:eastAsia="微软雅黑"/>
          <w:sz w:val="30"/>
          <w:szCs w:val="30"/>
        </w:rPr>
        <w:t>廉政须知回执</w:t>
      </w:r>
      <w:r>
        <w:rPr>
          <w:rFonts w:hint="eastAsia" w:ascii="微软雅黑" w:hAnsi="微软雅黑" w:eastAsia="微软雅黑"/>
          <w:sz w:val="30"/>
          <w:szCs w:val="30"/>
        </w:rPr>
        <w:t>（规范</w:t>
      </w:r>
      <w:r>
        <w:rPr>
          <w:rFonts w:ascii="微软雅黑" w:hAnsi="微软雅黑" w:eastAsia="微软雅黑"/>
          <w:sz w:val="30"/>
          <w:szCs w:val="30"/>
        </w:rPr>
        <w:t>）</w:t>
      </w:r>
      <w:bookmarkEnd w:id="124"/>
      <w:bookmarkEnd w:id="125"/>
      <w:bookmarkEnd w:id="126"/>
      <w:bookmarkEnd w:id="127"/>
    </w:p>
    <w:p>
      <w:pPr>
        <w:widowControl/>
        <w:spacing w:after="240" w:line="360" w:lineRule="auto"/>
        <w:jc w:val="center"/>
        <w:rPr>
          <w:rFonts w:ascii="微软雅黑" w:hAnsi="微软雅黑" w:eastAsia="微软雅黑"/>
          <w:b/>
          <w:szCs w:val="21"/>
        </w:rPr>
      </w:pPr>
      <w:r>
        <w:rPr>
          <w:rFonts w:hint="eastAsia" w:ascii="微软雅黑" w:hAnsi="微软雅黑" w:eastAsia="微软雅黑"/>
          <w:b/>
          <w:szCs w:val="21"/>
        </w:rPr>
        <w:t>廉 正 须 知</w:t>
      </w:r>
    </w:p>
    <w:p>
      <w:pPr>
        <w:spacing w:line="360" w:lineRule="auto"/>
        <w:rPr>
          <w:rFonts w:ascii="微软雅黑" w:hAnsi="微软雅黑" w:eastAsia="微软雅黑"/>
          <w:szCs w:val="21"/>
        </w:rPr>
      </w:pPr>
      <w:r>
        <w:rPr>
          <w:rFonts w:hint="eastAsia" w:ascii="微软雅黑" w:hAnsi="微软雅黑" w:eastAsia="微软雅黑"/>
          <w:szCs w:val="21"/>
        </w:rPr>
        <w:t>1.</w:t>
      </w:r>
      <w:r>
        <w:rPr>
          <w:rFonts w:hint="eastAsia" w:ascii="微软雅黑" w:hAnsi="微软雅黑" w:eastAsia="微软雅黑"/>
          <w:szCs w:val="21"/>
        </w:rPr>
        <w:tab/>
      </w:r>
      <w:r>
        <w:rPr>
          <w:rFonts w:hint="eastAsia" w:ascii="微软雅黑" w:hAnsi="微软雅黑" w:eastAsia="微软雅黑"/>
          <w:szCs w:val="21"/>
        </w:rPr>
        <w:t>本集团严禁各业务中心及地区公司员工在业务活动中向合作单位（施工单位、供货商、监理单位、设计单位等）吃、要、索、拿，同时亦反对合作单位向本集团相关人员行贿。</w:t>
      </w:r>
    </w:p>
    <w:p>
      <w:pPr>
        <w:spacing w:line="360" w:lineRule="auto"/>
        <w:rPr>
          <w:rFonts w:ascii="微软雅黑" w:hAnsi="微软雅黑" w:eastAsia="微软雅黑"/>
          <w:szCs w:val="21"/>
        </w:rPr>
      </w:pPr>
      <w:r>
        <w:rPr>
          <w:rFonts w:hint="eastAsia" w:ascii="微软雅黑" w:hAnsi="微软雅黑" w:eastAsia="微软雅黑"/>
          <w:szCs w:val="21"/>
        </w:rPr>
        <w:t>2.</w:t>
      </w:r>
      <w:r>
        <w:rPr>
          <w:rFonts w:hint="eastAsia" w:ascii="微软雅黑" w:hAnsi="微软雅黑" w:eastAsia="微软雅黑"/>
          <w:szCs w:val="21"/>
        </w:rPr>
        <w:tab/>
      </w:r>
      <w:r>
        <w:rPr>
          <w:rFonts w:hint="eastAsia" w:ascii="微软雅黑" w:hAnsi="微软雅黑" w:eastAsia="微软雅黑"/>
          <w:szCs w:val="21"/>
        </w:rPr>
        <w:t>合作单位在参加投标时，应向招标工作人员领取《廉正须知》，并将回执签字、盖章后送达招标工作人员。</w:t>
      </w:r>
    </w:p>
    <w:p>
      <w:pPr>
        <w:spacing w:line="360" w:lineRule="auto"/>
        <w:rPr>
          <w:rFonts w:ascii="微软雅黑" w:hAnsi="微软雅黑" w:eastAsia="微软雅黑"/>
          <w:szCs w:val="21"/>
        </w:rPr>
      </w:pPr>
      <w:r>
        <w:rPr>
          <w:rFonts w:hint="eastAsia" w:ascii="微软雅黑" w:hAnsi="微软雅黑" w:eastAsia="微软雅黑"/>
          <w:szCs w:val="21"/>
        </w:rPr>
        <w:t>3.</w:t>
      </w:r>
      <w:r>
        <w:rPr>
          <w:rFonts w:hint="eastAsia" w:ascii="微软雅黑" w:hAnsi="微软雅黑" w:eastAsia="微软雅黑"/>
          <w:szCs w:val="21"/>
        </w:rPr>
        <w:tab/>
      </w:r>
      <w:r>
        <w:rPr>
          <w:rFonts w:hint="eastAsia" w:ascii="微软雅黑" w:hAnsi="微软雅黑" w:eastAsia="微软雅黑"/>
          <w:szCs w:val="21"/>
        </w:rPr>
        <w:t>合作单位未提交经签字、盖章的《廉正须知》回执的，招标工作人员不向其发放招标文件。合作单位在领取招标文件时一并领取《廉正协议》。</w:t>
      </w:r>
    </w:p>
    <w:p>
      <w:pPr>
        <w:spacing w:line="360" w:lineRule="auto"/>
        <w:rPr>
          <w:rFonts w:ascii="微软雅黑" w:hAnsi="微软雅黑" w:eastAsia="微软雅黑"/>
          <w:szCs w:val="21"/>
        </w:rPr>
      </w:pPr>
      <w:r>
        <w:rPr>
          <w:rFonts w:hint="eastAsia" w:ascii="微软雅黑" w:hAnsi="微软雅黑" w:eastAsia="微软雅黑"/>
          <w:szCs w:val="21"/>
        </w:rPr>
        <w:t>4.</w:t>
      </w:r>
      <w:r>
        <w:rPr>
          <w:rFonts w:hint="eastAsia" w:ascii="微软雅黑" w:hAnsi="微软雅黑" w:eastAsia="微软雅黑"/>
          <w:szCs w:val="21"/>
        </w:rPr>
        <w:tab/>
      </w:r>
      <w:r>
        <w:rPr>
          <w:rFonts w:hint="eastAsia" w:ascii="微软雅黑" w:hAnsi="微软雅黑" w:eastAsia="微软雅黑"/>
          <w:szCs w:val="21"/>
        </w:rPr>
        <w:t>合作单位在提交投标文件之前或提交投标文件时未提交《廉正协议》的，招标工作人员将其按照废标处理。《廉正须知》、《廉正协议》是集团及地区公司付款类合同的强制附件。</w:t>
      </w:r>
    </w:p>
    <w:p>
      <w:pPr>
        <w:spacing w:line="360" w:lineRule="auto"/>
        <w:rPr>
          <w:rFonts w:ascii="微软雅黑" w:hAnsi="微软雅黑" w:eastAsia="微软雅黑"/>
          <w:szCs w:val="21"/>
        </w:rPr>
      </w:pPr>
      <w:r>
        <w:rPr>
          <w:rFonts w:hint="eastAsia" w:ascii="微软雅黑" w:hAnsi="微软雅黑" w:eastAsia="微软雅黑"/>
          <w:szCs w:val="21"/>
        </w:rPr>
        <w:t>5.</w:t>
      </w:r>
      <w:r>
        <w:rPr>
          <w:rFonts w:hint="eastAsia" w:ascii="微软雅黑" w:hAnsi="微软雅黑" w:eastAsia="微软雅黑"/>
          <w:szCs w:val="21"/>
        </w:rPr>
        <w:tab/>
      </w:r>
      <w:r>
        <w:rPr>
          <w:rFonts w:hint="eastAsia" w:ascii="微软雅黑" w:hAnsi="微软雅黑" w:eastAsia="微软雅黑"/>
          <w:szCs w:val="21"/>
        </w:rPr>
        <w:t>本集团及地区公司欢迎供应商进行举报，鼓励实名举报，对举报人予以保密。经集团审计监察部查证属实的，将给举报人以优先给予合作机会或物质奖励。</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p>
    <w:p>
      <w:pPr>
        <w:widowControl/>
        <w:spacing w:line="360" w:lineRule="auto"/>
        <w:jc w:val="center"/>
        <w:rPr>
          <w:rFonts w:ascii="微软雅黑" w:hAnsi="微软雅黑" w:eastAsia="微软雅黑"/>
          <w:b/>
          <w:szCs w:val="21"/>
        </w:rPr>
      </w:pPr>
    </w:p>
    <w:p>
      <w:pPr>
        <w:widowControl/>
        <w:spacing w:line="360" w:lineRule="auto"/>
        <w:jc w:val="center"/>
        <w:rPr>
          <w:rFonts w:ascii="微软雅黑" w:hAnsi="微软雅黑" w:eastAsia="微软雅黑"/>
          <w:b/>
          <w:szCs w:val="21"/>
        </w:rPr>
      </w:pPr>
      <w:r>
        <w:rPr>
          <w:rFonts w:ascii="微软雅黑" w:hAnsi="微软雅黑" w:eastAsia="微软雅黑"/>
          <w:szCs w:val="21"/>
        </w:rPr>
        <mc:AlternateContent>
          <mc:Choice Requires="wps">
            <w:drawing>
              <wp:anchor distT="0" distB="0" distL="114300" distR="114300" simplePos="0" relativeHeight="251659264" behindDoc="0" locked="0" layoutInCell="1" allowOverlap="1">
                <wp:simplePos x="0" y="0"/>
                <wp:positionH relativeFrom="column">
                  <wp:posOffset>-693420</wp:posOffset>
                </wp:positionH>
                <wp:positionV relativeFrom="paragraph">
                  <wp:posOffset>24130</wp:posOffset>
                </wp:positionV>
                <wp:extent cx="7848600" cy="0"/>
                <wp:effectExtent l="0" t="0" r="0" b="0"/>
                <wp:wrapNone/>
                <wp:docPr id="2" name="自选图形 3"/>
                <wp:cNvGraphicFramePr/>
                <a:graphic xmlns:a="http://schemas.openxmlformats.org/drawingml/2006/main">
                  <a:graphicData uri="http://schemas.microsoft.com/office/word/2010/wordprocessingShape">
                    <wps:wsp>
                      <wps:cNvCnPr/>
                      <wps:spPr>
                        <a:xfrm>
                          <a:off x="0" y="0"/>
                          <a:ext cx="7848600" cy="0"/>
                        </a:xfrm>
                        <a:prstGeom prst="straightConnector1">
                          <a:avLst/>
                        </a:prstGeom>
                        <a:ln w="9525" cap="flat" cmpd="sng">
                          <a:solidFill>
                            <a:srgbClr val="000000"/>
                          </a:solidFill>
                          <a:prstDash val="dash"/>
                          <a:headEnd type="none" w="med" len="med"/>
                          <a:tailEnd type="none" w="med" len="med"/>
                        </a:ln>
                        <a:effectLst/>
                      </wps:spPr>
                      <wps:bodyPr/>
                    </wps:wsp>
                  </a:graphicData>
                </a:graphic>
              </wp:anchor>
            </w:drawing>
          </mc:Choice>
          <mc:Fallback>
            <w:pict>
              <v:shape id="自选图形 3" o:spid="_x0000_s1026" o:spt="32" type="#_x0000_t32" style="position:absolute;left:0pt;margin-left:-54.6pt;margin-top:1.9pt;height:0pt;width:618pt;z-index:251659264;mso-width-relative:page;mso-height-relative:page;" filled="f" stroked="t" coordsize="21600,21600" o:gfxdata="UEsDBAoAAAAAAIdO4kAAAAAAAAAAAAAAAAAEAAAAZHJzL1BLAwQUAAAACACHTuJArd5QptcAAAAJ&#10;AQAADwAAAGRycy9kb3ducmV2LnhtbE2PzU7DMBCE70i8g7VI3FonAQUIcXoAIQT0AAHRqxtv44h4&#10;HdnuD2/PlgvcdndGs9/Ui4MbxQ5DHDwpyOcZCKTOm4F6BR/vD7NrEDFpMnr0hAq+McKiOT2pdWX8&#10;nt5w16ZecAjFSiuwKU2VlLGz6HSc+wmJtY0PTideQy9N0HsOd6MssqyUTg/EH6ye8M5i99VunYLL&#10;100bVk9L+XJfPhfh0X6u7JVT6vwsz25BJDykPzMc8RkdGmZa+y2ZKEYFszy7Kdir4IIrHA15UfK0&#10;/j3Ippb/GzQ/UEsDBBQAAAAIAIdO4kCeYXH5+gEAAPADAAAOAAAAZHJzL2Uyb0RvYy54bWytU82O&#10;0zAQviPxDpbvNGlhlxI13UPLckFQCXiAqe0klvwnj7dpb9wQz8CNI+8Ab7MSvAXjpFuW5dIDOTgz&#10;9sw3830eL6721rCdiqi9q/l0UnKmnPBSu7bmH95fP5lzhgmcBOOdqvlBIb9aPn606EOlZr7zRqrI&#10;CMRh1YeadymFqihQdMoCTnxQjg4bHy0kcmNbyAg9oVtTzMrysuh9lCF6oRBpdz0e8iNiPAfQN40W&#10;au3FjVUujahRGUhECTsdkC+HbptGifS2aVAlZmpOTNOwUhGyt3ktlguo2gih0+LYApzTwgNOFrSj&#10;oieoNSRgN1H/A2W1iB59kybC22IkMihCLKblA23edRDUwIWkxnASHf8frHiz20SmZc1nnDmwdOE/&#10;P3379fHz7Zcft9+/sqdZoT5gRYErt4lHD8MmZrr7Jtr8JyJsP6h6OKmq9okJ2nw+fza/LElwcXdW&#10;/EkMEdMr5S3LRs0xRdBtl1beObo7H6eDqrB7jYlKU+JdQq5qHOtr/uJidkHgQLPY0AyQaQPxQdcO&#10;ueiNltfamJyBsd2uTGQ7yPMwfJkg4f4VlousAbsxTpI1DkqnQL50kqVDIKEcvQ+eO7BKcmYUPads&#10;ER5UCbQ5J5IqG5cT1DCsR5pZ8FHibG29PAzKF9mjQRgaPg5tnrT7Ptn3H+ry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3eUKbXAAAACQEAAA8AAAAAAAAAAQAgAAAAIgAAAGRycy9kb3ducmV2Lnht&#10;bFBLAQIUABQAAAAIAIdO4kCeYXH5+gEAAPADAAAOAAAAAAAAAAEAIAAAACYBAABkcnMvZTJvRG9j&#10;LnhtbFBLBQYAAAAABgAGAFkBAACSBQAAAAA=&#10;">
                <v:fill on="f" focussize="0,0"/>
                <v:stroke color="#000000" joinstyle="round" dashstyle="dash"/>
                <v:imagedata o:title=""/>
                <o:lock v:ext="edit" aspectratio="f"/>
              </v:shape>
            </w:pict>
          </mc:Fallback>
        </mc:AlternateContent>
      </w:r>
    </w:p>
    <w:p>
      <w:pPr>
        <w:widowControl/>
        <w:spacing w:line="360" w:lineRule="auto"/>
        <w:jc w:val="center"/>
        <w:rPr>
          <w:rFonts w:ascii="微软雅黑" w:hAnsi="微软雅黑" w:eastAsia="微软雅黑"/>
          <w:b/>
          <w:szCs w:val="21"/>
        </w:rPr>
      </w:pPr>
      <w:r>
        <w:rPr>
          <w:rFonts w:hint="eastAsia" w:ascii="微软雅黑" w:hAnsi="微软雅黑" w:eastAsia="微软雅黑"/>
          <w:b/>
          <w:szCs w:val="21"/>
        </w:rPr>
        <w:t>回 执</w:t>
      </w:r>
    </w:p>
    <w:p>
      <w:pPr>
        <w:spacing w:line="360" w:lineRule="auto"/>
        <w:ind w:firstLine="420"/>
        <w:rPr>
          <w:rFonts w:ascii="微软雅黑" w:hAnsi="微软雅黑" w:eastAsia="微软雅黑"/>
          <w:szCs w:val="21"/>
        </w:rPr>
      </w:pPr>
      <w:r>
        <w:rPr>
          <w:rFonts w:hint="eastAsia" w:ascii="微软雅黑" w:hAnsi="微软雅黑" w:eastAsia="微软雅黑"/>
          <w:szCs w:val="21"/>
        </w:rPr>
        <w:t>以上内容的《廉正须知》本公司（单位）已收到，本公司同意执行贵公司的《廉正须知》的规定。</w:t>
      </w:r>
    </w:p>
    <w:p>
      <w:pPr>
        <w:wordWrap w:val="0"/>
        <w:spacing w:line="360" w:lineRule="auto"/>
        <w:ind w:right="1200"/>
        <w:jc w:val="right"/>
        <w:rPr>
          <w:rFonts w:ascii="微软雅黑" w:hAnsi="微软雅黑" w:eastAsia="微软雅黑"/>
          <w:szCs w:val="21"/>
        </w:rPr>
      </w:pPr>
      <w:r>
        <w:rPr>
          <w:rFonts w:hint="eastAsia" w:ascii="微软雅黑" w:hAnsi="微软雅黑" w:eastAsia="微软雅黑"/>
          <w:szCs w:val="21"/>
        </w:rPr>
        <w:t xml:space="preserve">           收件人（公章）：</w:t>
      </w:r>
    </w:p>
    <w:p>
      <w:pPr>
        <w:wordWrap w:val="0"/>
        <w:spacing w:line="360" w:lineRule="auto"/>
        <w:ind w:right="480"/>
        <w:jc w:val="center"/>
        <w:rPr>
          <w:rFonts w:ascii="微软雅黑" w:hAnsi="微软雅黑" w:eastAsia="微软雅黑"/>
          <w:szCs w:val="21"/>
        </w:rPr>
      </w:pPr>
      <w:r>
        <w:rPr>
          <w:rFonts w:hint="eastAsia" w:ascii="微软雅黑" w:hAnsi="微软雅黑" w:eastAsia="微软雅黑"/>
          <w:szCs w:val="21"/>
        </w:rPr>
        <w:t xml:space="preserve">                                                       代 表 人：</w:t>
      </w:r>
    </w:p>
    <w:p>
      <w:pPr>
        <w:rPr>
          <w:rFonts w:ascii="微软雅黑" w:hAnsi="微软雅黑" w:eastAsia="微软雅黑"/>
          <w:szCs w:val="21"/>
        </w:rPr>
      </w:pPr>
      <w:r>
        <w:rPr>
          <w:rFonts w:hint="eastAsia" w:ascii="微软雅黑" w:hAnsi="微软雅黑" w:eastAsia="微软雅黑"/>
          <w:szCs w:val="21"/>
        </w:rPr>
        <w:t xml:space="preserve">                                                                   日期:   年   月   日</w:t>
      </w:r>
    </w:p>
    <w:p>
      <w:pPr>
        <w:rPr>
          <w:rFonts w:ascii="微软雅黑" w:hAnsi="微软雅黑" w:eastAsia="微软雅黑"/>
          <w:szCs w:val="21"/>
        </w:rPr>
      </w:pPr>
    </w:p>
    <w:p>
      <w:pPr>
        <w:pStyle w:val="3"/>
        <w:rPr>
          <w:rFonts w:ascii="微软雅黑" w:hAnsi="微软雅黑" w:eastAsia="微软雅黑"/>
        </w:rPr>
      </w:pPr>
      <w:bookmarkStart w:id="128" w:name="_Toc526784187"/>
      <w:bookmarkStart w:id="129" w:name="_Toc516486672"/>
      <w:bookmarkStart w:id="130" w:name="_Toc374704133"/>
      <w:bookmarkStart w:id="131" w:name="_Toc533173082"/>
      <w:r>
        <w:rPr>
          <w:rFonts w:hint="eastAsia" w:ascii="微软雅黑" w:hAnsi="微软雅黑" w:eastAsia="微软雅黑"/>
          <w:sz w:val="30"/>
          <w:szCs w:val="30"/>
        </w:rPr>
        <w:t>8.7</w:t>
      </w:r>
      <w:bookmarkEnd w:id="128"/>
      <w:bookmarkEnd w:id="129"/>
      <w:bookmarkEnd w:id="130"/>
      <w:r>
        <w:rPr>
          <w:rFonts w:hint="eastAsia" w:ascii="微软雅黑" w:hAnsi="微软雅黑" w:eastAsia="微软雅黑"/>
          <w:sz w:val="30"/>
          <w:szCs w:val="30"/>
        </w:rPr>
        <w:t>投标报价清单（规范）</w:t>
      </w:r>
      <w:bookmarkEnd w:id="131"/>
    </w:p>
    <w:tbl>
      <w:tblPr>
        <w:tblStyle w:val="13"/>
        <w:tblW w:w="9875" w:type="dxa"/>
        <w:tblInd w:w="93" w:type="dxa"/>
        <w:tblLayout w:type="fixed"/>
        <w:tblCellMar>
          <w:top w:w="0" w:type="dxa"/>
          <w:left w:w="108" w:type="dxa"/>
          <w:bottom w:w="0" w:type="dxa"/>
          <w:right w:w="108" w:type="dxa"/>
        </w:tblCellMar>
      </w:tblPr>
      <w:tblGrid>
        <w:gridCol w:w="349"/>
        <w:gridCol w:w="349"/>
        <w:gridCol w:w="1040"/>
        <w:gridCol w:w="1590"/>
        <w:gridCol w:w="5235"/>
        <w:gridCol w:w="390"/>
        <w:gridCol w:w="922"/>
      </w:tblGrid>
      <w:tr>
        <w:tblPrEx>
          <w:tblCellMar>
            <w:top w:w="0" w:type="dxa"/>
            <w:left w:w="108" w:type="dxa"/>
            <w:bottom w:w="0" w:type="dxa"/>
            <w:right w:w="108" w:type="dxa"/>
          </w:tblCellMar>
        </w:tblPrEx>
        <w:trPr>
          <w:trHeight w:val="860" w:hRule="atLeast"/>
        </w:trPr>
        <w:tc>
          <w:tcPr>
            <w:tcW w:w="9875" w:type="dxa"/>
            <w:gridSpan w:val="7"/>
            <w:tcBorders>
              <w:top w:val="nil"/>
              <w:left w:val="nil"/>
              <w:bottom w:val="nil"/>
              <w:right w:val="nil"/>
            </w:tcBorders>
            <w:shd w:val="clear" w:color="auto" w:fill="auto"/>
            <w:noWrap/>
            <w:vAlign w:val="center"/>
          </w:tcPr>
          <w:p>
            <w:pPr>
              <w:widowControl/>
              <w:jc w:val="center"/>
              <w:textAlignment w:val="center"/>
              <w:rPr>
                <w:rFonts w:ascii="宋体" w:hAnsi="宋体" w:cs="宋体"/>
                <w:color w:val="000000"/>
                <w:sz w:val="40"/>
                <w:szCs w:val="40"/>
              </w:rPr>
            </w:pPr>
            <w:r>
              <w:rPr>
                <w:rFonts w:hint="eastAsia" w:ascii="宋体" w:hAnsi="宋体" w:cs="宋体"/>
                <w:color w:val="000000"/>
                <w:kern w:val="0"/>
                <w:sz w:val="40"/>
                <w:szCs w:val="40"/>
                <w:lang w:bidi="ar"/>
              </w:rPr>
              <w:t>北国汇新城信息机房明细价格</w:t>
            </w:r>
          </w:p>
        </w:tc>
      </w:tr>
      <w:tr>
        <w:tblPrEx>
          <w:tblCellMar>
            <w:top w:w="0" w:type="dxa"/>
            <w:left w:w="108" w:type="dxa"/>
            <w:bottom w:w="0" w:type="dxa"/>
            <w:right w:w="108" w:type="dxa"/>
          </w:tblCellMar>
        </w:tblPrEx>
        <w:trPr>
          <w:trHeight w:val="500" w:hRule="atLeast"/>
        </w:trPr>
        <w:tc>
          <w:tcPr>
            <w:tcW w:w="3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分类</w:t>
            </w:r>
          </w:p>
        </w:tc>
        <w:tc>
          <w:tcPr>
            <w:tcW w:w="3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序号</w:t>
            </w:r>
          </w:p>
        </w:tc>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设备名称</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品牌型号</w:t>
            </w:r>
          </w:p>
        </w:tc>
        <w:tc>
          <w:tcPr>
            <w:tcW w:w="5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主要参数</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单位</w:t>
            </w:r>
          </w:p>
        </w:tc>
        <w:tc>
          <w:tcPr>
            <w:tcW w:w="9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数量</w:t>
            </w:r>
          </w:p>
        </w:tc>
      </w:tr>
      <w:tr>
        <w:tblPrEx>
          <w:tblCellMar>
            <w:top w:w="0" w:type="dxa"/>
            <w:left w:w="108" w:type="dxa"/>
            <w:bottom w:w="0" w:type="dxa"/>
            <w:right w:w="108" w:type="dxa"/>
          </w:tblCellMar>
        </w:tblPrEx>
        <w:trPr>
          <w:trHeight w:val="2640" w:hRule="atLeast"/>
        </w:trPr>
        <w:tc>
          <w:tcPr>
            <w:tcW w:w="34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机</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房</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装</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修</w:t>
            </w:r>
          </w:p>
        </w:tc>
        <w:tc>
          <w:tcPr>
            <w:tcW w:w="3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w:t>
            </w: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瓷砖楼地面</w:t>
            </w:r>
          </w:p>
        </w:tc>
        <w:tc>
          <w:tcPr>
            <w:tcW w:w="15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冠珠、东鹏、马可波罗、诺贝尔</w:t>
            </w:r>
          </w:p>
        </w:tc>
        <w:tc>
          <w:tcPr>
            <w:tcW w:w="523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1、使用部位:地面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2、面层形式、材料种类、规格: 耐磨防滑瓷砖，品牌规格型号综合考虑</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3、粘结层、材料种类:</w:t>
            </w:r>
            <w:r>
              <w:rPr>
                <w:rFonts w:hint="eastAsia" w:ascii="宋体" w:hAnsi="宋体" w:cs="宋体"/>
                <w:color w:val="FF00FF"/>
                <w:kern w:val="0"/>
                <w:sz w:val="20"/>
                <w:szCs w:val="20"/>
                <w:lang w:bidi="ar"/>
              </w:rPr>
              <w:t>专用粘结剂或水泥砂浆（无论是否预拌）配比及厚度综合考虑；</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4、包含地砖专用粘结剂或水泥砂浆粘结层（厚度综合考虑）</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5、嵌缝材料种类：专用擦缝胶擦缝综合考虑；</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6、含清理基层、备料、调制砂浆、浸润块，刷水泥浆，抹结合层、铺贴、擦缝、清理净面、排版下料、切割加工、倒角</w:t>
            </w:r>
            <w:r>
              <w:rPr>
                <w:rFonts w:hint="eastAsia" w:ascii="宋体" w:hAnsi="宋体" w:cs="宋体"/>
                <w:color w:val="FF00FF"/>
                <w:kern w:val="0"/>
                <w:sz w:val="20"/>
                <w:szCs w:val="20"/>
                <w:lang w:bidi="ar"/>
              </w:rPr>
              <w:t>(瓷砖乙供）</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9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68</w:t>
            </w:r>
          </w:p>
        </w:tc>
      </w:tr>
      <w:tr>
        <w:tblPrEx>
          <w:tblCellMar>
            <w:top w:w="0" w:type="dxa"/>
            <w:left w:w="108" w:type="dxa"/>
            <w:bottom w:w="0" w:type="dxa"/>
            <w:right w:w="108" w:type="dxa"/>
          </w:tblCellMar>
        </w:tblPrEx>
        <w:trPr>
          <w:trHeight w:val="720" w:hRule="atLeast"/>
        </w:trPr>
        <w:tc>
          <w:tcPr>
            <w:tcW w:w="3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3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地面垫层</w:t>
            </w:r>
          </w:p>
        </w:tc>
        <w:tc>
          <w:tcPr>
            <w:tcW w:w="15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523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1、使用部位:地面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2、面层形式、材料种类、规格:砂子水泥基层找平；</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9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100</w:t>
            </w:r>
          </w:p>
        </w:tc>
      </w:tr>
      <w:tr>
        <w:tblPrEx>
          <w:tblCellMar>
            <w:top w:w="0" w:type="dxa"/>
            <w:left w:w="108" w:type="dxa"/>
            <w:bottom w:w="0" w:type="dxa"/>
            <w:right w:w="108" w:type="dxa"/>
          </w:tblCellMar>
        </w:tblPrEx>
        <w:trPr>
          <w:trHeight w:val="1920" w:hRule="atLeast"/>
        </w:trPr>
        <w:tc>
          <w:tcPr>
            <w:tcW w:w="3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3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静电地板地面</w:t>
            </w:r>
          </w:p>
        </w:tc>
        <w:tc>
          <w:tcPr>
            <w:tcW w:w="15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沈飞、科瑞、冀美、方艺</w:t>
            </w:r>
          </w:p>
        </w:tc>
        <w:tc>
          <w:tcPr>
            <w:tcW w:w="523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1、使用部位:地面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2、面层形式、材料种类、规格: 静电地板，品牌规格型号综合考虑</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3、材料种类:</w:t>
            </w:r>
            <w:r>
              <w:rPr>
                <w:rFonts w:hint="eastAsia" w:ascii="宋体" w:hAnsi="宋体" w:cs="宋体"/>
                <w:color w:val="FF00FF"/>
                <w:kern w:val="0"/>
                <w:sz w:val="20"/>
                <w:szCs w:val="20"/>
                <w:lang w:bidi="ar"/>
              </w:rPr>
              <w:t>专用龙骨骨架施工基层</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4、包含静电地板专用基层骨架</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5、嵌缝材料种类：专用擦缝胶擦缝综合考虑；</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6、含清理基层、备料、基层、铺贴、擦缝、清理净面、排版下料、切割加工、倒角</w:t>
            </w:r>
            <w:r>
              <w:rPr>
                <w:rFonts w:hint="eastAsia" w:ascii="宋体" w:hAnsi="宋体" w:cs="宋体"/>
                <w:color w:val="FF00FF"/>
                <w:kern w:val="0"/>
                <w:sz w:val="20"/>
                <w:szCs w:val="20"/>
                <w:lang w:bidi="ar"/>
              </w:rPr>
              <w:t>(地板乙供）</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9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100</w:t>
            </w:r>
          </w:p>
        </w:tc>
      </w:tr>
      <w:tr>
        <w:tblPrEx>
          <w:tblCellMar>
            <w:top w:w="0" w:type="dxa"/>
            <w:left w:w="108" w:type="dxa"/>
            <w:bottom w:w="0" w:type="dxa"/>
            <w:right w:w="108" w:type="dxa"/>
          </w:tblCellMar>
        </w:tblPrEx>
        <w:trPr>
          <w:trHeight w:val="960" w:hRule="atLeast"/>
        </w:trPr>
        <w:tc>
          <w:tcPr>
            <w:tcW w:w="3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3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金属踢脚线</w:t>
            </w:r>
          </w:p>
        </w:tc>
        <w:tc>
          <w:tcPr>
            <w:tcW w:w="15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523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1、墙体类型：综合</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2、基层材料种类、规格:阻燃基层板,直钉固定；</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3、面层材料品种、规格、颜色：304#砂面不锈钢踢脚线（高度６0mm），颜色综合考虑；</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ｍ</w:t>
            </w:r>
          </w:p>
        </w:tc>
        <w:tc>
          <w:tcPr>
            <w:tcW w:w="9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57</w:t>
            </w:r>
          </w:p>
        </w:tc>
      </w:tr>
      <w:tr>
        <w:tblPrEx>
          <w:tblCellMar>
            <w:top w:w="0" w:type="dxa"/>
            <w:left w:w="108" w:type="dxa"/>
            <w:bottom w:w="0" w:type="dxa"/>
            <w:right w:w="108" w:type="dxa"/>
          </w:tblCellMar>
        </w:tblPrEx>
        <w:trPr>
          <w:trHeight w:val="1680" w:hRule="atLeast"/>
        </w:trPr>
        <w:tc>
          <w:tcPr>
            <w:tcW w:w="3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3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FF0000"/>
                <w:sz w:val="20"/>
                <w:szCs w:val="20"/>
              </w:rPr>
            </w:pPr>
            <w:r>
              <w:rPr>
                <w:rFonts w:hint="eastAsia" w:ascii="宋体" w:hAnsi="宋体" w:cs="宋体"/>
                <w:color w:val="FF0000"/>
                <w:kern w:val="0"/>
                <w:sz w:val="20"/>
                <w:szCs w:val="20"/>
                <w:lang w:bidi="ar"/>
              </w:rPr>
              <w:t>轻钢龙骨隔断</w:t>
            </w:r>
          </w:p>
        </w:tc>
        <w:tc>
          <w:tcPr>
            <w:tcW w:w="15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FF0000"/>
                <w:sz w:val="20"/>
                <w:szCs w:val="20"/>
              </w:rPr>
            </w:pPr>
            <w:r>
              <w:rPr>
                <w:rFonts w:hint="eastAsia" w:ascii="宋体" w:hAnsi="宋体" w:cs="宋体"/>
                <w:color w:val="FF0000"/>
                <w:kern w:val="0"/>
                <w:sz w:val="20"/>
                <w:szCs w:val="20"/>
                <w:lang w:bidi="ar"/>
              </w:rPr>
              <w:t>龙牌、泰山、昊龙、嘉祥</w:t>
            </w:r>
          </w:p>
        </w:tc>
        <w:tc>
          <w:tcPr>
            <w:tcW w:w="523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widowControl/>
              <w:jc w:val="center"/>
              <w:textAlignment w:val="center"/>
              <w:rPr>
                <w:rFonts w:ascii="宋体" w:hAnsi="宋体" w:cs="宋体"/>
                <w:color w:val="FF0000"/>
                <w:sz w:val="20"/>
                <w:szCs w:val="20"/>
              </w:rPr>
            </w:pPr>
            <w:r>
              <w:rPr>
                <w:rFonts w:hint="eastAsia" w:ascii="宋体" w:hAnsi="宋体" w:cs="宋体"/>
                <w:color w:val="FF0000"/>
                <w:kern w:val="0"/>
                <w:sz w:val="20"/>
                <w:szCs w:val="20"/>
                <w:lang w:bidi="ar"/>
              </w:rPr>
              <w:t>1.骨架、边框材料种类、规格:100系列C型轻钢龙骨间距400mm，横向间距1200加穿心龙骨</w:t>
            </w:r>
            <w:r>
              <w:rPr>
                <w:rFonts w:hint="eastAsia" w:ascii="宋体" w:hAnsi="宋体" w:cs="宋体"/>
                <w:color w:val="FF0000"/>
                <w:kern w:val="0"/>
                <w:sz w:val="20"/>
                <w:szCs w:val="20"/>
                <w:lang w:bidi="ar"/>
              </w:rPr>
              <w:br w:type="textWrapping"/>
            </w:r>
            <w:r>
              <w:rPr>
                <w:rFonts w:hint="eastAsia" w:ascii="宋体" w:hAnsi="宋体" w:cs="宋体"/>
                <w:color w:val="FF0000"/>
                <w:kern w:val="0"/>
                <w:sz w:val="20"/>
                <w:szCs w:val="20"/>
                <w:lang w:bidi="ar"/>
              </w:rPr>
              <w:t>2.隔板材料品种、规格、颜色:单层双面18mm多层阻燃板（刷防火涂料2遍）</w:t>
            </w:r>
            <w:r>
              <w:rPr>
                <w:rFonts w:hint="eastAsia" w:ascii="宋体" w:hAnsi="宋体" w:cs="宋体"/>
                <w:color w:val="FF0000"/>
                <w:kern w:val="0"/>
                <w:sz w:val="20"/>
                <w:szCs w:val="20"/>
                <w:lang w:bidi="ar"/>
              </w:rPr>
              <w:br w:type="textWrapping"/>
            </w:r>
            <w:r>
              <w:rPr>
                <w:rFonts w:hint="eastAsia" w:ascii="宋体" w:hAnsi="宋体" w:cs="宋体"/>
                <w:color w:val="FF0000"/>
                <w:kern w:val="0"/>
                <w:sz w:val="20"/>
                <w:szCs w:val="20"/>
                <w:lang w:bidi="ar"/>
              </w:rPr>
              <w:t>3.墙体填充:防火隔音棉</w:t>
            </w:r>
            <w:r>
              <w:rPr>
                <w:rFonts w:hint="eastAsia" w:ascii="宋体" w:hAnsi="宋体" w:cs="宋体"/>
                <w:color w:val="FF0000"/>
                <w:kern w:val="0"/>
                <w:sz w:val="20"/>
                <w:szCs w:val="20"/>
                <w:lang w:bidi="ar"/>
              </w:rPr>
              <w:br w:type="textWrapping"/>
            </w:r>
            <w:r>
              <w:rPr>
                <w:rFonts w:hint="eastAsia" w:ascii="宋体" w:hAnsi="宋体" w:cs="宋体"/>
                <w:color w:val="FF0000"/>
                <w:kern w:val="0"/>
                <w:sz w:val="20"/>
                <w:szCs w:val="20"/>
                <w:lang w:bidi="ar"/>
              </w:rPr>
              <w:t>4.轻钢龙骨质量不低于或等同于龙牌、泰山、可耐福品牌系列中高档次产品</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9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48</w:t>
            </w:r>
          </w:p>
        </w:tc>
      </w:tr>
      <w:tr>
        <w:tblPrEx>
          <w:tblCellMar>
            <w:top w:w="0" w:type="dxa"/>
            <w:left w:w="108" w:type="dxa"/>
            <w:bottom w:w="0" w:type="dxa"/>
            <w:right w:w="108" w:type="dxa"/>
          </w:tblCellMar>
        </w:tblPrEx>
        <w:trPr>
          <w:trHeight w:val="480" w:hRule="atLeast"/>
        </w:trPr>
        <w:tc>
          <w:tcPr>
            <w:tcW w:w="3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3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玻璃隔断</w:t>
            </w:r>
          </w:p>
        </w:tc>
        <w:tc>
          <w:tcPr>
            <w:tcW w:w="15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洛玻、全晶、中波、信义</w:t>
            </w:r>
          </w:p>
        </w:tc>
        <w:tc>
          <w:tcPr>
            <w:tcW w:w="523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1.边框材料种类、规格:镀锌槽钢</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2.玻璃品种、规格、颜色:5+5钢化夹胶玻璃</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9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w:t>
            </w:r>
          </w:p>
        </w:tc>
      </w:tr>
      <w:tr>
        <w:tblPrEx>
          <w:tblCellMar>
            <w:top w:w="0" w:type="dxa"/>
            <w:left w:w="108" w:type="dxa"/>
            <w:bottom w:w="0" w:type="dxa"/>
            <w:right w:w="108" w:type="dxa"/>
          </w:tblCellMar>
        </w:tblPrEx>
        <w:trPr>
          <w:trHeight w:val="285" w:hRule="atLeast"/>
        </w:trPr>
        <w:tc>
          <w:tcPr>
            <w:tcW w:w="3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3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钢质防火门</w:t>
            </w:r>
          </w:p>
        </w:tc>
        <w:tc>
          <w:tcPr>
            <w:tcW w:w="15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步阳、春天、盼盼、舒和</w:t>
            </w:r>
          </w:p>
        </w:tc>
        <w:tc>
          <w:tcPr>
            <w:tcW w:w="523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钢质防火门</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樘</w:t>
            </w:r>
          </w:p>
        </w:tc>
        <w:tc>
          <w:tcPr>
            <w:tcW w:w="9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p>
        </w:tc>
      </w:tr>
      <w:tr>
        <w:tblPrEx>
          <w:tblCellMar>
            <w:top w:w="0" w:type="dxa"/>
            <w:left w:w="108" w:type="dxa"/>
            <w:bottom w:w="0" w:type="dxa"/>
            <w:right w:w="108" w:type="dxa"/>
          </w:tblCellMar>
        </w:tblPrEx>
        <w:trPr>
          <w:trHeight w:val="285" w:hRule="atLeast"/>
        </w:trPr>
        <w:tc>
          <w:tcPr>
            <w:tcW w:w="3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3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w:t>
            </w: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全玻自由门</w:t>
            </w:r>
          </w:p>
        </w:tc>
        <w:tc>
          <w:tcPr>
            <w:tcW w:w="15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洛玻、全晶、中波、信义</w:t>
            </w:r>
          </w:p>
        </w:tc>
        <w:tc>
          <w:tcPr>
            <w:tcW w:w="523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带框钢化玻璃门（含不锈钢五金）</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樘</w:t>
            </w:r>
          </w:p>
        </w:tc>
        <w:tc>
          <w:tcPr>
            <w:tcW w:w="9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w:t>
            </w:r>
          </w:p>
        </w:tc>
      </w:tr>
      <w:tr>
        <w:tblPrEx>
          <w:tblCellMar>
            <w:top w:w="0" w:type="dxa"/>
            <w:left w:w="108" w:type="dxa"/>
            <w:bottom w:w="0" w:type="dxa"/>
            <w:right w:w="108" w:type="dxa"/>
          </w:tblCellMar>
        </w:tblPrEx>
        <w:trPr>
          <w:trHeight w:val="960" w:hRule="atLeast"/>
        </w:trPr>
        <w:tc>
          <w:tcPr>
            <w:tcW w:w="3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3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装饰面板（石膏板）</w:t>
            </w:r>
          </w:p>
        </w:tc>
        <w:tc>
          <w:tcPr>
            <w:tcW w:w="15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龙牌、泰山、国泰、可耐福</w:t>
            </w:r>
          </w:p>
        </w:tc>
        <w:tc>
          <w:tcPr>
            <w:tcW w:w="523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1.面层材料品种、规格、颜色:9mm石膏板</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2.嵌缝材料种类:石膏腻子嵌缝抹钉眼，贴绷带</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3.石膏板不低于或等同于龙牌、泰山、可耐福品牌系列中高档次产品</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9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96</w:t>
            </w:r>
          </w:p>
        </w:tc>
      </w:tr>
      <w:tr>
        <w:tblPrEx>
          <w:tblCellMar>
            <w:top w:w="0" w:type="dxa"/>
            <w:left w:w="108" w:type="dxa"/>
            <w:bottom w:w="0" w:type="dxa"/>
            <w:right w:w="108" w:type="dxa"/>
          </w:tblCellMar>
        </w:tblPrEx>
        <w:trPr>
          <w:trHeight w:val="1920" w:hRule="atLeast"/>
        </w:trPr>
        <w:tc>
          <w:tcPr>
            <w:tcW w:w="3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3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抹灰面防静电油漆</w:t>
            </w:r>
          </w:p>
        </w:tc>
        <w:tc>
          <w:tcPr>
            <w:tcW w:w="15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巴德士、晨阳、佰利联、立邦</w:t>
            </w:r>
          </w:p>
        </w:tc>
        <w:tc>
          <w:tcPr>
            <w:tcW w:w="523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1.腻子种类:成品腻子</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2.刮腻子遍数:3遍</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3.油漆品种、刷漆遍数:抗碱乳胶漆封底一遍，腻子捡补，磨平，抗碱乳胶漆封底第二遍，抗碱乳胶漆面层二遍</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4.乳胶漆颜色:白色</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5.涂料质量不低于或等同于多乐士、立邦、晨阳、净牌水漆品牌系列中高档次产品</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9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455</w:t>
            </w:r>
          </w:p>
        </w:tc>
      </w:tr>
      <w:tr>
        <w:tblPrEx>
          <w:tblCellMar>
            <w:top w:w="0" w:type="dxa"/>
            <w:left w:w="108" w:type="dxa"/>
            <w:bottom w:w="0" w:type="dxa"/>
            <w:right w:w="108" w:type="dxa"/>
          </w:tblCellMar>
        </w:tblPrEx>
        <w:trPr>
          <w:trHeight w:val="2160" w:hRule="atLeast"/>
        </w:trPr>
        <w:tc>
          <w:tcPr>
            <w:tcW w:w="3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3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天棚吊顶（铝扣板）</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法狮龙、中顶豪瑞、京华</w:t>
            </w:r>
          </w:p>
        </w:tc>
        <w:tc>
          <w:tcPr>
            <w:tcW w:w="52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1、类别：天棚吊顶-铝扣板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2、面层：铝扣板（乙供）</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3、轻钢龙骨及吊筋：轻钢龙骨及吊筋</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4、防锈处理：内部结构金属刷防锈漆</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5、防火防腐处理：若特殊部位为木结构则木结构必须做防火、防腐处理，防火处理：刷防火涂料、防腐剂涂刷均匀</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6.其他：安装其他：一切金属构件、固定件、密封胶填缝及所需配件处理等；</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9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167.8</w:t>
            </w:r>
          </w:p>
        </w:tc>
      </w:tr>
      <w:tr>
        <w:tblPrEx>
          <w:tblCellMar>
            <w:top w:w="0" w:type="dxa"/>
            <w:left w:w="108" w:type="dxa"/>
            <w:bottom w:w="0" w:type="dxa"/>
            <w:right w:w="108" w:type="dxa"/>
          </w:tblCellMar>
        </w:tblPrEx>
        <w:trPr>
          <w:trHeight w:val="285" w:hRule="atLeast"/>
        </w:trPr>
        <w:tc>
          <w:tcPr>
            <w:tcW w:w="3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3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天棚吊顶（反支撑）</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法狮龙、中顶豪瑞、京华</w:t>
            </w:r>
          </w:p>
        </w:tc>
        <w:tc>
          <w:tcPr>
            <w:tcW w:w="52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１、下垂高度超过１２００ｍｍ需加反支撑</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9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167.8</w:t>
            </w:r>
          </w:p>
        </w:tc>
      </w:tr>
      <w:tr>
        <w:tblPrEx>
          <w:tblCellMar>
            <w:top w:w="0" w:type="dxa"/>
            <w:left w:w="108" w:type="dxa"/>
            <w:bottom w:w="0" w:type="dxa"/>
            <w:right w:w="108" w:type="dxa"/>
          </w:tblCellMar>
        </w:tblPrEx>
        <w:trPr>
          <w:trHeight w:val="960" w:hRule="atLeast"/>
        </w:trPr>
        <w:tc>
          <w:tcPr>
            <w:tcW w:w="3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3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灯具</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雷士、欧普、飞利浦福照</w:t>
            </w:r>
          </w:p>
        </w:tc>
        <w:tc>
          <w:tcPr>
            <w:tcW w:w="52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1.名称：嵌入式天花灯</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2.规格、型号：６００＊６００</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3.使用位置：天花吊顶</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4.安装形式：综合考虑                      </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台</w:t>
            </w:r>
          </w:p>
        </w:tc>
        <w:tc>
          <w:tcPr>
            <w:tcW w:w="9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w:t>
            </w:r>
          </w:p>
        </w:tc>
      </w:tr>
      <w:tr>
        <w:tblPrEx>
          <w:tblCellMar>
            <w:top w:w="0" w:type="dxa"/>
            <w:left w:w="108" w:type="dxa"/>
            <w:bottom w:w="0" w:type="dxa"/>
            <w:right w:w="108" w:type="dxa"/>
          </w:tblCellMar>
        </w:tblPrEx>
        <w:trPr>
          <w:trHeight w:val="285" w:hRule="atLeast"/>
        </w:trPr>
        <w:tc>
          <w:tcPr>
            <w:tcW w:w="3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3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货架</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5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定制货架</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组</w:t>
            </w:r>
          </w:p>
        </w:tc>
        <w:tc>
          <w:tcPr>
            <w:tcW w:w="9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w:t>
            </w:r>
          </w:p>
        </w:tc>
      </w:tr>
      <w:tr>
        <w:tblPrEx>
          <w:tblCellMar>
            <w:top w:w="0" w:type="dxa"/>
            <w:left w:w="108" w:type="dxa"/>
            <w:bottom w:w="0" w:type="dxa"/>
            <w:right w:w="108" w:type="dxa"/>
          </w:tblCellMar>
        </w:tblPrEx>
        <w:trPr>
          <w:trHeight w:val="480" w:hRule="atLeast"/>
        </w:trPr>
        <w:tc>
          <w:tcPr>
            <w:tcW w:w="3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3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成品保护费、开荒保洁</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52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1、按精装室内建筑面积包干价</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9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167.8</w:t>
            </w:r>
          </w:p>
        </w:tc>
      </w:tr>
      <w:tr>
        <w:tblPrEx>
          <w:tblCellMar>
            <w:top w:w="0" w:type="dxa"/>
            <w:left w:w="108" w:type="dxa"/>
            <w:bottom w:w="0" w:type="dxa"/>
            <w:right w:w="108" w:type="dxa"/>
          </w:tblCellMar>
        </w:tblPrEx>
        <w:trPr>
          <w:trHeight w:val="480" w:hRule="atLeast"/>
        </w:trPr>
        <w:tc>
          <w:tcPr>
            <w:tcW w:w="3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3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垃圾清理</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52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1、按精装室内建筑面积包干价</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9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167.8</w:t>
            </w:r>
          </w:p>
        </w:tc>
      </w:tr>
      <w:tr>
        <w:tblPrEx>
          <w:tblCellMar>
            <w:top w:w="0" w:type="dxa"/>
            <w:left w:w="108" w:type="dxa"/>
            <w:bottom w:w="0" w:type="dxa"/>
            <w:right w:w="108" w:type="dxa"/>
          </w:tblCellMar>
        </w:tblPrEx>
        <w:trPr>
          <w:trHeight w:val="285" w:hRule="atLeast"/>
        </w:trPr>
        <w:tc>
          <w:tcPr>
            <w:tcW w:w="3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3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w:t>
            </w:r>
          </w:p>
        </w:tc>
        <w:tc>
          <w:tcPr>
            <w:tcW w:w="10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电源线</w:t>
            </w:r>
          </w:p>
        </w:tc>
        <w:tc>
          <w:tcPr>
            <w:tcW w:w="159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金城、小猫、京华、眼镜蛇</w:t>
            </w:r>
          </w:p>
        </w:tc>
        <w:tc>
          <w:tcPr>
            <w:tcW w:w="52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国标</w:t>
            </w:r>
          </w:p>
        </w:tc>
        <w:tc>
          <w:tcPr>
            <w:tcW w:w="39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盘</w:t>
            </w:r>
          </w:p>
        </w:tc>
        <w:tc>
          <w:tcPr>
            <w:tcW w:w="9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p>
        </w:tc>
      </w:tr>
      <w:tr>
        <w:tblPrEx>
          <w:tblCellMar>
            <w:top w:w="0" w:type="dxa"/>
            <w:left w:w="108" w:type="dxa"/>
            <w:bottom w:w="0" w:type="dxa"/>
            <w:right w:w="108" w:type="dxa"/>
          </w:tblCellMar>
        </w:tblPrEx>
        <w:trPr>
          <w:trHeight w:val="285" w:hRule="atLeast"/>
        </w:trPr>
        <w:tc>
          <w:tcPr>
            <w:tcW w:w="3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3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w:t>
            </w:r>
          </w:p>
        </w:tc>
        <w:tc>
          <w:tcPr>
            <w:tcW w:w="10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机柜</w:t>
            </w:r>
          </w:p>
        </w:tc>
        <w:tc>
          <w:tcPr>
            <w:tcW w:w="159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图腾</w:t>
            </w:r>
          </w:p>
        </w:tc>
        <w:tc>
          <w:tcPr>
            <w:tcW w:w="52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2000*600*1200(定制底座)图腾</w:t>
            </w:r>
          </w:p>
        </w:tc>
        <w:tc>
          <w:tcPr>
            <w:tcW w:w="39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套</w:t>
            </w:r>
          </w:p>
        </w:tc>
        <w:tc>
          <w:tcPr>
            <w:tcW w:w="9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w:t>
            </w:r>
          </w:p>
        </w:tc>
      </w:tr>
      <w:tr>
        <w:tblPrEx>
          <w:tblCellMar>
            <w:top w:w="0" w:type="dxa"/>
            <w:left w:w="108" w:type="dxa"/>
            <w:bottom w:w="0" w:type="dxa"/>
            <w:right w:w="108" w:type="dxa"/>
          </w:tblCellMar>
        </w:tblPrEx>
        <w:trPr>
          <w:trHeight w:val="285" w:hRule="atLeast"/>
        </w:trPr>
        <w:tc>
          <w:tcPr>
            <w:tcW w:w="3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3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w:t>
            </w:r>
          </w:p>
        </w:tc>
        <w:tc>
          <w:tcPr>
            <w:tcW w:w="10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机房专用空调</w:t>
            </w:r>
          </w:p>
        </w:tc>
        <w:tc>
          <w:tcPr>
            <w:tcW w:w="159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大金</w:t>
            </w:r>
          </w:p>
        </w:tc>
        <w:tc>
          <w:tcPr>
            <w:tcW w:w="52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5匹专用空调</w:t>
            </w:r>
          </w:p>
        </w:tc>
        <w:tc>
          <w:tcPr>
            <w:tcW w:w="39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台</w:t>
            </w:r>
          </w:p>
        </w:tc>
        <w:tc>
          <w:tcPr>
            <w:tcW w:w="9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p>
        </w:tc>
      </w:tr>
      <w:tr>
        <w:tblPrEx>
          <w:tblCellMar>
            <w:top w:w="0" w:type="dxa"/>
            <w:left w:w="108" w:type="dxa"/>
            <w:bottom w:w="0" w:type="dxa"/>
            <w:right w:w="108" w:type="dxa"/>
          </w:tblCellMar>
        </w:tblPrEx>
        <w:trPr>
          <w:trHeight w:val="285" w:hRule="atLeast"/>
        </w:trPr>
        <w:tc>
          <w:tcPr>
            <w:tcW w:w="3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3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配电柜800*500*2000</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5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双路互投、断路器、防雷模块、互感器、多功能电表</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套</w:t>
            </w:r>
          </w:p>
        </w:tc>
        <w:tc>
          <w:tcPr>
            <w:tcW w:w="9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w:t>
            </w:r>
          </w:p>
        </w:tc>
      </w:tr>
      <w:tr>
        <w:tblPrEx>
          <w:tblCellMar>
            <w:top w:w="0" w:type="dxa"/>
            <w:left w:w="108" w:type="dxa"/>
            <w:bottom w:w="0" w:type="dxa"/>
            <w:right w:w="108" w:type="dxa"/>
          </w:tblCellMar>
        </w:tblPrEx>
        <w:trPr>
          <w:trHeight w:val="960" w:hRule="atLeast"/>
        </w:trPr>
        <w:tc>
          <w:tcPr>
            <w:tcW w:w="34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机</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房</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消</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防</w:t>
            </w:r>
          </w:p>
        </w:tc>
        <w:tc>
          <w:tcPr>
            <w:tcW w:w="3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柜式灭火装置</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三星气龙、远方、宸安、海捷</w:t>
            </w:r>
          </w:p>
        </w:tc>
        <w:tc>
          <w:tcPr>
            <w:tcW w:w="52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喷射时间：        ≤10s 充装密度：        灭火装置：≤1000kg/m3      灭火系统：≤950kg/m3</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台</w:t>
            </w:r>
          </w:p>
        </w:tc>
        <w:tc>
          <w:tcPr>
            <w:tcW w:w="9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w:t>
            </w:r>
          </w:p>
        </w:tc>
      </w:tr>
      <w:tr>
        <w:tblPrEx>
          <w:tblCellMar>
            <w:top w:w="0" w:type="dxa"/>
            <w:left w:w="108" w:type="dxa"/>
            <w:bottom w:w="0" w:type="dxa"/>
            <w:right w:w="108" w:type="dxa"/>
          </w:tblCellMar>
        </w:tblPrEx>
        <w:trPr>
          <w:trHeight w:val="285" w:hRule="atLeast"/>
        </w:trPr>
        <w:tc>
          <w:tcPr>
            <w:tcW w:w="3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3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七氟丙烷药剂</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三星气龙、远方、宸安、海捷</w:t>
            </w:r>
          </w:p>
        </w:tc>
        <w:tc>
          <w:tcPr>
            <w:tcW w:w="5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HFC-227ea</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公斤</w:t>
            </w:r>
          </w:p>
        </w:tc>
        <w:tc>
          <w:tcPr>
            <w:tcW w:w="9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90</w:t>
            </w:r>
          </w:p>
        </w:tc>
      </w:tr>
      <w:tr>
        <w:tblPrEx>
          <w:tblCellMar>
            <w:top w:w="0" w:type="dxa"/>
            <w:left w:w="108" w:type="dxa"/>
            <w:bottom w:w="0" w:type="dxa"/>
            <w:right w:w="108" w:type="dxa"/>
          </w:tblCellMar>
        </w:tblPrEx>
        <w:trPr>
          <w:trHeight w:val="285" w:hRule="atLeast"/>
        </w:trPr>
        <w:tc>
          <w:tcPr>
            <w:tcW w:w="3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3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23</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泄压阀</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三星气龙、远方、宸安、海捷</w:t>
            </w:r>
          </w:p>
        </w:tc>
        <w:tc>
          <w:tcPr>
            <w:tcW w:w="5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400*400</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台</w:t>
            </w:r>
          </w:p>
        </w:tc>
        <w:tc>
          <w:tcPr>
            <w:tcW w:w="9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p>
        </w:tc>
      </w:tr>
      <w:tr>
        <w:tblPrEx>
          <w:tblCellMar>
            <w:top w:w="0" w:type="dxa"/>
            <w:left w:w="108" w:type="dxa"/>
            <w:bottom w:w="0" w:type="dxa"/>
            <w:right w:w="108" w:type="dxa"/>
          </w:tblCellMar>
        </w:tblPrEx>
        <w:trPr>
          <w:trHeight w:val="2160" w:hRule="atLeast"/>
        </w:trPr>
        <w:tc>
          <w:tcPr>
            <w:tcW w:w="3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3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气体灭火控制器</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海湾、泰和安、山鹰、北大青鸟</w:t>
            </w:r>
          </w:p>
        </w:tc>
        <w:tc>
          <w:tcPr>
            <w:tcW w:w="52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主电电源  交流 220V （187～242V）</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备用电池  12V/12Ah 两节</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液晶屏规格 LCD 液晶屏 128×64</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容 量</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最大容量 4 个气体灭火分区，可自由选择气体灭火分区，</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每区 100 个回路地址点</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温 度  0℃～+40℃</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相对湿度  ≤95%RH，不凝露</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台</w:t>
            </w:r>
          </w:p>
        </w:tc>
        <w:tc>
          <w:tcPr>
            <w:tcW w:w="9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p>
        </w:tc>
      </w:tr>
      <w:tr>
        <w:tblPrEx>
          <w:tblCellMar>
            <w:top w:w="0" w:type="dxa"/>
            <w:left w:w="108" w:type="dxa"/>
            <w:bottom w:w="0" w:type="dxa"/>
            <w:right w:w="108" w:type="dxa"/>
          </w:tblCellMar>
        </w:tblPrEx>
        <w:trPr>
          <w:trHeight w:val="2880" w:hRule="atLeast"/>
        </w:trPr>
        <w:tc>
          <w:tcPr>
            <w:tcW w:w="3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3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25</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气体释放警报器</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海湾、泰和安、山鹰、北大青鸟</w:t>
            </w:r>
          </w:p>
        </w:tc>
        <w:tc>
          <w:tcPr>
            <w:tcW w:w="52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工作电压  总线电压：15V～28V 脉冲电压;电源电压：DC21V～28V</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线 制  无极性二总线连接，与 DC24V 电源采用无极性二线连接</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总线监视电流  ≤0.6mA</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总线启动电流  ≤5mA</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电源监视电流  ≤2mA</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电源启动电流  ≤65mA</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编码方式  接气体灭火控制器，编码范围可在 46~50 之间设定</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温 度  -10℃～+55℃</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相对湿度  ≤95%RH，不凝露</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只</w:t>
            </w:r>
          </w:p>
        </w:tc>
        <w:tc>
          <w:tcPr>
            <w:tcW w:w="9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p>
        </w:tc>
      </w:tr>
      <w:tr>
        <w:tblPrEx>
          <w:tblCellMar>
            <w:top w:w="0" w:type="dxa"/>
            <w:left w:w="108" w:type="dxa"/>
            <w:bottom w:w="0" w:type="dxa"/>
            <w:right w:w="108" w:type="dxa"/>
          </w:tblCellMar>
        </w:tblPrEx>
        <w:trPr>
          <w:trHeight w:val="3360" w:hRule="atLeast"/>
        </w:trPr>
        <w:tc>
          <w:tcPr>
            <w:tcW w:w="3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3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26</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火灾声光警报器</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海湾、泰和安、山鹰、北大青鸟</w:t>
            </w:r>
          </w:p>
        </w:tc>
        <w:tc>
          <w:tcPr>
            <w:tcW w:w="52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工作电压  总线电压：15V～28V 脉冲电压;电源电压：DC20V～28V</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线 制  无极性二总线连接，与 DC24V 电源采用无极性二线连接</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总线监视电流 ≤0.6mA</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总线启动电流 ≤3mA</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电源监视电流 ≤2mA</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电源启动电流 ≤50mA</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变调周期  3.0s～4.5s</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闪光频率  1.0Hz～1.6Hz</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声压级  75dB～100dB [正前方 3m 水平处（A 计权）]</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温 度  -10℃～+55℃</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相对湿度  ≤95%RH，不凝露</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套</w:t>
            </w:r>
          </w:p>
        </w:tc>
        <w:tc>
          <w:tcPr>
            <w:tcW w:w="9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p>
        </w:tc>
      </w:tr>
      <w:tr>
        <w:tblPrEx>
          <w:tblCellMar>
            <w:top w:w="0" w:type="dxa"/>
            <w:left w:w="108" w:type="dxa"/>
            <w:bottom w:w="0" w:type="dxa"/>
            <w:right w:w="108" w:type="dxa"/>
          </w:tblCellMar>
        </w:tblPrEx>
        <w:trPr>
          <w:trHeight w:val="2400" w:hRule="atLeast"/>
        </w:trPr>
        <w:tc>
          <w:tcPr>
            <w:tcW w:w="3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3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27</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紧急启/停按钮</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海湾、泰和安、山鹰、北大青鸟</w:t>
            </w:r>
          </w:p>
        </w:tc>
        <w:tc>
          <w:tcPr>
            <w:tcW w:w="52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工作电压  15V～28V 脉冲电压</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总线监视电流  ≤3mA</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总线报警电流  ≤6mA</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编码方式  电子编码，地址 41～45</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启动方式  按下“紧急启动”按键 1 秒钟</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停止方式  按下“紧急停止”按键 2 秒钟</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线 制  无极性二总线</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启动零件型式  可重复使用型启动按片</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温 度  -10℃～+55℃</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相对湿度  ≤95%RH，不凝露</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套</w:t>
            </w:r>
          </w:p>
        </w:tc>
        <w:tc>
          <w:tcPr>
            <w:tcW w:w="9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p>
        </w:tc>
      </w:tr>
      <w:tr>
        <w:tblPrEx>
          <w:tblCellMar>
            <w:top w:w="0" w:type="dxa"/>
            <w:left w:w="108" w:type="dxa"/>
            <w:bottom w:w="0" w:type="dxa"/>
            <w:right w:w="108" w:type="dxa"/>
          </w:tblCellMar>
        </w:tblPrEx>
        <w:trPr>
          <w:trHeight w:val="285" w:hRule="atLeast"/>
        </w:trPr>
        <w:tc>
          <w:tcPr>
            <w:tcW w:w="3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3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28</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点型光电感烟火灾探测器</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海湾、泰和安、山鹰、北大青鸟</w:t>
            </w:r>
          </w:p>
        </w:tc>
        <w:tc>
          <w:tcPr>
            <w:tcW w:w="5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工作电压  总线 15V～28V（脉冲电压）</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总线静态电流  ≤0.3mA</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总线报警电流  ≤2.8mA</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编码方式  电子编码</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执行标准  GB 4715-2005</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线 制  无极性二总线</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温 度  -10℃～+55℃</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相对湿度  ≤95%RH，不凝露</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只</w:t>
            </w:r>
          </w:p>
        </w:tc>
        <w:tc>
          <w:tcPr>
            <w:tcW w:w="9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p>
        </w:tc>
      </w:tr>
      <w:tr>
        <w:tblPrEx>
          <w:tblCellMar>
            <w:top w:w="0" w:type="dxa"/>
            <w:left w:w="108" w:type="dxa"/>
            <w:bottom w:w="0" w:type="dxa"/>
            <w:right w:w="108" w:type="dxa"/>
          </w:tblCellMar>
        </w:tblPrEx>
        <w:trPr>
          <w:trHeight w:val="285" w:hRule="atLeast"/>
        </w:trPr>
        <w:tc>
          <w:tcPr>
            <w:tcW w:w="3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3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29</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点型感温火灾探测器</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海湾、泰和安、山鹰、北大青鸟</w:t>
            </w:r>
          </w:p>
        </w:tc>
        <w:tc>
          <w:tcPr>
            <w:tcW w:w="5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工作电压  15V～28V 脉冲电压</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总线静态电流  ≤0.3mA</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总线报警电流  ≤2.8mA</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编码方式  电子编码</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线 制  无极性二总线</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温 度  -10℃～50℃</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相对湿度  ≤95%RH，不凝露</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只</w:t>
            </w:r>
          </w:p>
        </w:tc>
        <w:tc>
          <w:tcPr>
            <w:tcW w:w="9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w:t>
            </w:r>
          </w:p>
        </w:tc>
      </w:tr>
      <w:tr>
        <w:tblPrEx>
          <w:tblCellMar>
            <w:top w:w="0" w:type="dxa"/>
            <w:left w:w="108" w:type="dxa"/>
            <w:bottom w:w="0" w:type="dxa"/>
            <w:right w:w="108" w:type="dxa"/>
          </w:tblCellMar>
        </w:tblPrEx>
        <w:trPr>
          <w:trHeight w:val="285" w:hRule="atLeast"/>
        </w:trPr>
        <w:tc>
          <w:tcPr>
            <w:tcW w:w="3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3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30</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通用探测器底座</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海湾、泰和安、山鹰、北大青鸟</w:t>
            </w:r>
          </w:p>
        </w:tc>
        <w:tc>
          <w:tcPr>
            <w:tcW w:w="5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配套</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只</w:t>
            </w:r>
          </w:p>
        </w:tc>
        <w:tc>
          <w:tcPr>
            <w:tcW w:w="9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w:t>
            </w:r>
          </w:p>
        </w:tc>
      </w:tr>
      <w:tr>
        <w:tblPrEx>
          <w:tblCellMar>
            <w:top w:w="0" w:type="dxa"/>
            <w:left w:w="108" w:type="dxa"/>
            <w:bottom w:w="0" w:type="dxa"/>
            <w:right w:w="108" w:type="dxa"/>
          </w:tblCellMar>
        </w:tblPrEx>
        <w:trPr>
          <w:trHeight w:val="2400" w:hRule="atLeast"/>
        </w:trPr>
        <w:tc>
          <w:tcPr>
            <w:tcW w:w="3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3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31</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输入输出模块</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海湾、泰和安、山鹰、北大青鸟</w:t>
            </w:r>
          </w:p>
        </w:tc>
        <w:tc>
          <w:tcPr>
            <w:tcW w:w="52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作电压  总线 15V～28V 脉冲电压</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总线监视电流  ≤0.55mA</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总线动作电流  ≤5.0 mA</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线 制  与控制器采用无极性二总线连接</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温 度  -10℃～+55℃</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相对湿度  ≤95%RH，不凝露</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外形尺寸  87.0mm×87.0mm×37.0mm</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指示灯状态</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正常监视状态：绿色巡检灯周期性地闪亮</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动作状态：红色动作灯常亮，绿色巡检灯常亮</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套</w:t>
            </w:r>
          </w:p>
        </w:tc>
        <w:tc>
          <w:tcPr>
            <w:tcW w:w="9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p>
        </w:tc>
      </w:tr>
      <w:tr>
        <w:tblPrEx>
          <w:tblCellMar>
            <w:top w:w="0" w:type="dxa"/>
            <w:left w:w="108" w:type="dxa"/>
            <w:bottom w:w="0" w:type="dxa"/>
            <w:right w:w="108" w:type="dxa"/>
          </w:tblCellMar>
        </w:tblPrEx>
        <w:trPr>
          <w:trHeight w:val="285" w:hRule="atLeast"/>
        </w:trPr>
        <w:tc>
          <w:tcPr>
            <w:tcW w:w="3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3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32</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辅材</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5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国标</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0"/>
                <w:szCs w:val="20"/>
              </w:rPr>
            </w:pPr>
          </w:p>
        </w:tc>
        <w:tc>
          <w:tcPr>
            <w:tcW w:w="9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w:t>
            </w:r>
          </w:p>
        </w:tc>
      </w:tr>
      <w:tr>
        <w:tblPrEx>
          <w:tblCellMar>
            <w:top w:w="0" w:type="dxa"/>
            <w:left w:w="108" w:type="dxa"/>
            <w:bottom w:w="0" w:type="dxa"/>
            <w:right w:w="108" w:type="dxa"/>
          </w:tblCellMar>
        </w:tblPrEx>
        <w:trPr>
          <w:trHeight w:val="3840" w:hRule="atLeast"/>
        </w:trPr>
        <w:tc>
          <w:tcPr>
            <w:tcW w:w="34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机</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房</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动</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环</w:t>
            </w:r>
          </w:p>
        </w:tc>
        <w:tc>
          <w:tcPr>
            <w:tcW w:w="3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33</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智慧机房主机</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共济、计通、维蒂、迈世、OMARA</w:t>
            </w:r>
          </w:p>
        </w:tc>
        <w:tc>
          <w:tcPr>
            <w:tcW w:w="52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系统架构：Linux系统，Freescale 工业级低功耗芯片ARM                                                          网口：2路10M/100M自适应接口，物理接口：RJ-45接口 。                                                 RS485串口：8路接口，物理接口：RJ-45接口，带12V供电。                                                                                    RS232串口：4路接口，1个RJ-45接口，3个标准DB9接口，带12V供电。                                                    DI输入：8路光耦隔离开关量输入（支持干接点信号）接口，物理接口： RJ-45接口，带12V供电。                               DO输出：1路湿接点（12VDC）接口，2路继电器常开常闭输出（干接点）接口 。                                      1路USB接口。                                                                                      物理尺寸：1U机架式，433mm×260mm×43mm。             工作环境：温度：-10至70℃ ；湿度：10%至95%（无凝结）。</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台</w:t>
            </w:r>
          </w:p>
        </w:tc>
        <w:tc>
          <w:tcPr>
            <w:tcW w:w="9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w:t>
            </w:r>
          </w:p>
        </w:tc>
      </w:tr>
      <w:tr>
        <w:tblPrEx>
          <w:tblCellMar>
            <w:top w:w="0" w:type="dxa"/>
            <w:left w:w="108" w:type="dxa"/>
            <w:bottom w:w="0" w:type="dxa"/>
            <w:right w:w="108" w:type="dxa"/>
          </w:tblCellMar>
        </w:tblPrEx>
        <w:trPr>
          <w:trHeight w:val="3600" w:hRule="atLeast"/>
        </w:trPr>
        <w:tc>
          <w:tcPr>
            <w:tcW w:w="3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3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34</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智慧机房平台软件</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共济、计通、维蒂、迈世、OMARA</w:t>
            </w:r>
          </w:p>
        </w:tc>
        <w:tc>
          <w:tcPr>
            <w:tcW w:w="52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1）、完整软件包，WEB界面，B/S架构，WIN8风格，软件稳定可靠，功能强大，可实现机房动力环境的全面监控和管理，支持多用户，丰富的报表，操作简单易用，界面美观，信息全面，用户可通过该软件实时掌握机房的运行状况，电子邮件报警与手机短信报警报警功能。</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2）、采用嵌入式系统平台，隔绝病毒且稳定可靠，监控采集主机设备要求采用最为安全可靠的嵌入式系统平台，如Power PC linux，ARM linux等，保证系统的可靠性及避免病毒的影响。</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B/S架构，免客户端安装，无需加载控件系统要求实现的机房设备集中管理化要求，软件系统需支持多客户端的访问，方便各级管理人员的登陆，系统需支持B/S技术构架，免客户端安装,通过IE等网页浏览器，不能够加载控件。</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套</w:t>
            </w:r>
          </w:p>
        </w:tc>
        <w:tc>
          <w:tcPr>
            <w:tcW w:w="9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w:t>
            </w:r>
          </w:p>
        </w:tc>
      </w:tr>
      <w:tr>
        <w:tblPrEx>
          <w:tblCellMar>
            <w:top w:w="0" w:type="dxa"/>
            <w:left w:w="108" w:type="dxa"/>
            <w:bottom w:w="0" w:type="dxa"/>
            <w:right w:w="108" w:type="dxa"/>
          </w:tblCellMar>
        </w:tblPrEx>
        <w:trPr>
          <w:trHeight w:val="285" w:hRule="atLeast"/>
        </w:trPr>
        <w:tc>
          <w:tcPr>
            <w:tcW w:w="3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3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35</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声光报警器</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共济、计通、维蒂、迈世、OMARA</w:t>
            </w:r>
          </w:p>
        </w:tc>
        <w:tc>
          <w:tcPr>
            <w:tcW w:w="5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独立超高音喇叭设计，超大报警音量</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个</w:t>
            </w:r>
          </w:p>
        </w:tc>
        <w:tc>
          <w:tcPr>
            <w:tcW w:w="9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p>
        </w:tc>
      </w:tr>
      <w:tr>
        <w:tblPrEx>
          <w:tblCellMar>
            <w:top w:w="0" w:type="dxa"/>
            <w:left w:w="108" w:type="dxa"/>
            <w:bottom w:w="0" w:type="dxa"/>
            <w:right w:w="108" w:type="dxa"/>
          </w:tblCellMar>
        </w:tblPrEx>
        <w:trPr>
          <w:trHeight w:val="285" w:hRule="atLeast"/>
        </w:trPr>
        <w:tc>
          <w:tcPr>
            <w:tcW w:w="3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3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36</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三相电量仪</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共济、计通、维蒂、迈世、OMARA</w:t>
            </w:r>
          </w:p>
        </w:tc>
        <w:tc>
          <w:tcPr>
            <w:tcW w:w="5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采集三相电参量，包括电压、电流、功率、电能等电参量</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台</w:t>
            </w:r>
          </w:p>
        </w:tc>
        <w:tc>
          <w:tcPr>
            <w:tcW w:w="9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w:t>
            </w:r>
          </w:p>
        </w:tc>
      </w:tr>
      <w:tr>
        <w:tblPrEx>
          <w:tblCellMar>
            <w:top w:w="0" w:type="dxa"/>
            <w:left w:w="108" w:type="dxa"/>
            <w:bottom w:w="0" w:type="dxa"/>
            <w:right w:w="108" w:type="dxa"/>
          </w:tblCellMar>
        </w:tblPrEx>
        <w:trPr>
          <w:trHeight w:val="285" w:hRule="atLeast"/>
        </w:trPr>
        <w:tc>
          <w:tcPr>
            <w:tcW w:w="3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3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37</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精密电流互感器开口</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共济、计通、维蒂、迈世、OMARA</w:t>
            </w:r>
          </w:p>
        </w:tc>
        <w:tc>
          <w:tcPr>
            <w:tcW w:w="5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1、开合式电流互感器，输入电流量程200A；</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个</w:t>
            </w:r>
          </w:p>
        </w:tc>
        <w:tc>
          <w:tcPr>
            <w:tcW w:w="9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w:t>
            </w:r>
          </w:p>
        </w:tc>
      </w:tr>
      <w:tr>
        <w:tblPrEx>
          <w:tblCellMar>
            <w:top w:w="0" w:type="dxa"/>
            <w:left w:w="108" w:type="dxa"/>
            <w:bottom w:w="0" w:type="dxa"/>
            <w:right w:w="108" w:type="dxa"/>
          </w:tblCellMar>
        </w:tblPrEx>
        <w:trPr>
          <w:trHeight w:val="285" w:hRule="atLeast"/>
        </w:trPr>
        <w:tc>
          <w:tcPr>
            <w:tcW w:w="3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3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38</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电量仪监测模块</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共济、计通、维蒂、迈世、OMARA</w:t>
            </w:r>
          </w:p>
        </w:tc>
        <w:tc>
          <w:tcPr>
            <w:tcW w:w="5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监测各电量参数，电流、电压、频率、功率等的实时数据。</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套</w:t>
            </w:r>
          </w:p>
        </w:tc>
        <w:tc>
          <w:tcPr>
            <w:tcW w:w="9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w:t>
            </w:r>
          </w:p>
        </w:tc>
      </w:tr>
      <w:tr>
        <w:tblPrEx>
          <w:tblCellMar>
            <w:top w:w="0" w:type="dxa"/>
            <w:left w:w="108" w:type="dxa"/>
            <w:bottom w:w="0" w:type="dxa"/>
            <w:right w:w="108" w:type="dxa"/>
          </w:tblCellMar>
        </w:tblPrEx>
        <w:trPr>
          <w:trHeight w:val="285" w:hRule="atLeast"/>
        </w:trPr>
        <w:tc>
          <w:tcPr>
            <w:tcW w:w="3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3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39</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UPS检测模块</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共济、计通、维蒂、迈世、OMARA</w:t>
            </w:r>
          </w:p>
        </w:tc>
        <w:tc>
          <w:tcPr>
            <w:tcW w:w="5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通过使用智能设备监控主机，采集UPS的输入电压，输入电流，输出电压，输出电流，旁路相电压，旁路相电流，功率因素，电池电压，电池电流，系统频率，系统负载，电池后备时间等UPS通信协议所能提供的各项数据。</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套</w:t>
            </w:r>
          </w:p>
        </w:tc>
        <w:tc>
          <w:tcPr>
            <w:tcW w:w="9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w:t>
            </w:r>
          </w:p>
        </w:tc>
      </w:tr>
      <w:tr>
        <w:tblPrEx>
          <w:tblCellMar>
            <w:top w:w="0" w:type="dxa"/>
            <w:left w:w="108" w:type="dxa"/>
            <w:bottom w:w="0" w:type="dxa"/>
            <w:right w:w="108" w:type="dxa"/>
          </w:tblCellMar>
        </w:tblPrEx>
        <w:trPr>
          <w:trHeight w:val="285" w:hRule="atLeast"/>
        </w:trPr>
        <w:tc>
          <w:tcPr>
            <w:tcW w:w="3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3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40</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温湿度传感器</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共济、计通、维蒂、迈世、OMARA</w:t>
            </w:r>
          </w:p>
        </w:tc>
        <w:tc>
          <w:tcPr>
            <w:tcW w:w="5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采用全球领先的瑞士Sensirion集成芯片设计方案，配置大液晶显示，适用于室内环境温度、湿度测量,自带蜂鸣器现场报警。</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个</w:t>
            </w:r>
          </w:p>
        </w:tc>
        <w:tc>
          <w:tcPr>
            <w:tcW w:w="9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w:t>
            </w:r>
          </w:p>
        </w:tc>
      </w:tr>
      <w:tr>
        <w:tblPrEx>
          <w:tblCellMar>
            <w:top w:w="0" w:type="dxa"/>
            <w:left w:w="108" w:type="dxa"/>
            <w:bottom w:w="0" w:type="dxa"/>
            <w:right w:w="108" w:type="dxa"/>
          </w:tblCellMar>
        </w:tblPrEx>
        <w:trPr>
          <w:trHeight w:val="1440" w:hRule="atLeast"/>
        </w:trPr>
        <w:tc>
          <w:tcPr>
            <w:tcW w:w="3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3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41</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温湿度监控模块</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共济、计通、维蒂、迈世、OMARA</w:t>
            </w:r>
          </w:p>
        </w:tc>
        <w:tc>
          <w:tcPr>
            <w:tcW w:w="52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1.系统能对机房温湿度实时监视，显示并记录其运行数据。系统支持机房电子地图加载；</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2.根据预先的设定，系统可以对机房温湿度参数和状态异常设定自动报警；</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3.可通过 IE 浏览器全面监视机房温湿度实时情况，及其报警事件。</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套</w:t>
            </w:r>
          </w:p>
        </w:tc>
        <w:tc>
          <w:tcPr>
            <w:tcW w:w="9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w:t>
            </w:r>
          </w:p>
        </w:tc>
      </w:tr>
      <w:tr>
        <w:tblPrEx>
          <w:tblCellMar>
            <w:top w:w="0" w:type="dxa"/>
            <w:left w:w="108" w:type="dxa"/>
            <w:bottom w:w="0" w:type="dxa"/>
            <w:right w:w="108" w:type="dxa"/>
          </w:tblCellMar>
        </w:tblPrEx>
        <w:trPr>
          <w:trHeight w:val="285" w:hRule="atLeast"/>
        </w:trPr>
        <w:tc>
          <w:tcPr>
            <w:tcW w:w="3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3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42</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区域漏水监测器</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共济、计通、维蒂、迈世、OMARA</w:t>
            </w:r>
          </w:p>
        </w:tc>
        <w:tc>
          <w:tcPr>
            <w:tcW w:w="5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采用电极检测式原理，通过连接专业漏水传感线缆即组成一个单通道的检测报警系统。当液体碰触到传感线输出报警继电器信号。</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台</w:t>
            </w:r>
          </w:p>
        </w:tc>
        <w:tc>
          <w:tcPr>
            <w:tcW w:w="9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p>
        </w:tc>
      </w:tr>
      <w:tr>
        <w:tblPrEx>
          <w:tblCellMar>
            <w:top w:w="0" w:type="dxa"/>
            <w:left w:w="108" w:type="dxa"/>
            <w:bottom w:w="0" w:type="dxa"/>
            <w:right w:w="108" w:type="dxa"/>
          </w:tblCellMar>
        </w:tblPrEx>
        <w:trPr>
          <w:trHeight w:val="285" w:hRule="atLeast"/>
        </w:trPr>
        <w:tc>
          <w:tcPr>
            <w:tcW w:w="3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3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43</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区域漏水检测电缆-5M</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共济、计通、维蒂、迈世、OMARA</w:t>
            </w:r>
          </w:p>
        </w:tc>
        <w:tc>
          <w:tcPr>
            <w:tcW w:w="5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专业漏水检测绳，长度5米</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根</w:t>
            </w:r>
          </w:p>
        </w:tc>
        <w:tc>
          <w:tcPr>
            <w:tcW w:w="9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p>
        </w:tc>
      </w:tr>
      <w:tr>
        <w:tblPrEx>
          <w:tblCellMar>
            <w:top w:w="0" w:type="dxa"/>
            <w:left w:w="108" w:type="dxa"/>
            <w:bottom w:w="0" w:type="dxa"/>
            <w:right w:w="108" w:type="dxa"/>
          </w:tblCellMar>
        </w:tblPrEx>
        <w:trPr>
          <w:trHeight w:val="285" w:hRule="atLeast"/>
        </w:trPr>
        <w:tc>
          <w:tcPr>
            <w:tcW w:w="3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3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44</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区域式漏水检测系统模块</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共济、计通、维蒂、迈世、OMARA</w:t>
            </w:r>
          </w:p>
        </w:tc>
        <w:tc>
          <w:tcPr>
            <w:tcW w:w="5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1.系统能对机房可能的漏水区域实时监视，显示并记录其运行数据；</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2.系统采用电子地图方式显示实际漏水检测绳的分布；</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3.根据预先的设定，系统可以对机房漏水设定自动报警方案；</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4.可通过 IE 浏览器全面监视机房漏水监测实时状况，及其报警事件。</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套</w:t>
            </w:r>
          </w:p>
        </w:tc>
        <w:tc>
          <w:tcPr>
            <w:tcW w:w="9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w:t>
            </w:r>
          </w:p>
        </w:tc>
      </w:tr>
      <w:tr>
        <w:tblPrEx>
          <w:tblCellMar>
            <w:top w:w="0" w:type="dxa"/>
            <w:left w:w="108" w:type="dxa"/>
            <w:bottom w:w="0" w:type="dxa"/>
            <w:right w:w="108" w:type="dxa"/>
          </w:tblCellMar>
        </w:tblPrEx>
        <w:trPr>
          <w:trHeight w:val="285" w:hRule="atLeast"/>
        </w:trPr>
        <w:tc>
          <w:tcPr>
            <w:tcW w:w="3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3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45</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继电器</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共济、计通、维蒂、迈世、OMARA</w:t>
            </w:r>
          </w:p>
        </w:tc>
        <w:tc>
          <w:tcPr>
            <w:tcW w:w="5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监测机房是否出先烟雾火灾，一旦检测到烟雾就即刻报警。</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个</w:t>
            </w:r>
          </w:p>
        </w:tc>
        <w:tc>
          <w:tcPr>
            <w:tcW w:w="9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w:t>
            </w:r>
          </w:p>
        </w:tc>
      </w:tr>
      <w:tr>
        <w:tblPrEx>
          <w:tblCellMar>
            <w:top w:w="0" w:type="dxa"/>
            <w:left w:w="108" w:type="dxa"/>
            <w:bottom w:w="0" w:type="dxa"/>
            <w:right w:w="108" w:type="dxa"/>
          </w:tblCellMar>
        </w:tblPrEx>
        <w:trPr>
          <w:trHeight w:val="1200" w:hRule="atLeast"/>
        </w:trPr>
        <w:tc>
          <w:tcPr>
            <w:tcW w:w="3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3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46</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消防监控模块</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共济、计通、维蒂、迈世、OMARA</w:t>
            </w:r>
          </w:p>
        </w:tc>
        <w:tc>
          <w:tcPr>
            <w:tcW w:w="52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1.通过采集消防控制箱干接点报警信号，将采集信号发送至现场监控单元通过集中监控管理平台软件实施即时监测；</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2.报警信息可以通过电话、短信等方式即时的通知到监控人员。</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套</w:t>
            </w:r>
          </w:p>
        </w:tc>
        <w:tc>
          <w:tcPr>
            <w:tcW w:w="9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w:t>
            </w:r>
          </w:p>
        </w:tc>
      </w:tr>
      <w:tr>
        <w:tblPrEx>
          <w:tblCellMar>
            <w:top w:w="0" w:type="dxa"/>
            <w:left w:w="108" w:type="dxa"/>
            <w:bottom w:w="0" w:type="dxa"/>
            <w:right w:w="108" w:type="dxa"/>
          </w:tblCellMar>
        </w:tblPrEx>
        <w:trPr>
          <w:trHeight w:val="640" w:hRule="atLeast"/>
        </w:trPr>
        <w:tc>
          <w:tcPr>
            <w:tcW w:w="34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机</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房</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辅</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料</w:t>
            </w:r>
          </w:p>
        </w:tc>
        <w:tc>
          <w:tcPr>
            <w:tcW w:w="3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47</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其他线材，网线、水晶头、导线等</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超6类屏蔽线、超6类水晶头</w:t>
            </w:r>
          </w:p>
        </w:tc>
        <w:tc>
          <w:tcPr>
            <w:tcW w:w="5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国标</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项</w:t>
            </w:r>
          </w:p>
        </w:tc>
        <w:tc>
          <w:tcPr>
            <w:tcW w:w="9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w:t>
            </w:r>
          </w:p>
        </w:tc>
      </w:tr>
      <w:tr>
        <w:tblPrEx>
          <w:tblCellMar>
            <w:top w:w="0" w:type="dxa"/>
            <w:left w:w="108" w:type="dxa"/>
            <w:bottom w:w="0" w:type="dxa"/>
            <w:right w:w="108" w:type="dxa"/>
          </w:tblCellMar>
        </w:tblPrEx>
        <w:trPr>
          <w:trHeight w:val="600" w:hRule="atLeast"/>
        </w:trPr>
        <w:tc>
          <w:tcPr>
            <w:tcW w:w="3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3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48</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设备安装、调试费</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5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消防及环境监控</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项</w:t>
            </w:r>
          </w:p>
        </w:tc>
        <w:tc>
          <w:tcPr>
            <w:tcW w:w="9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w:t>
            </w:r>
          </w:p>
        </w:tc>
      </w:tr>
    </w:tbl>
    <w:p>
      <w:pPr>
        <w:pStyle w:val="7"/>
        <w:snapToGrid w:val="0"/>
        <w:spacing w:before="120" w:line="0" w:lineRule="atLeast"/>
        <w:ind w:right="480"/>
        <w:jc w:val="center"/>
        <w:rPr>
          <w:rFonts w:ascii="微软雅黑" w:hAnsi="微软雅黑" w:eastAsia="微软雅黑"/>
          <w:color w:val="000000"/>
        </w:rPr>
      </w:pPr>
    </w:p>
    <w:p>
      <w:pPr>
        <w:spacing w:line="0" w:lineRule="atLeast"/>
        <w:rPr>
          <w:rFonts w:ascii="微软雅黑" w:hAnsi="微软雅黑" w:eastAsia="微软雅黑"/>
          <w:bCs/>
          <w:szCs w:val="21"/>
        </w:rPr>
      </w:pPr>
    </w:p>
    <w:p>
      <w:pPr>
        <w:pStyle w:val="7"/>
        <w:snapToGrid w:val="0"/>
        <w:spacing w:before="120" w:line="0" w:lineRule="atLeast"/>
        <w:ind w:right="480"/>
        <w:jc w:val="center"/>
        <w:rPr>
          <w:rFonts w:ascii="微软雅黑" w:hAnsi="微软雅黑" w:eastAsia="微软雅黑"/>
          <w:bCs/>
          <w:u w:val="single"/>
        </w:rPr>
      </w:pPr>
      <w:r>
        <w:rPr>
          <w:rFonts w:hint="eastAsia" w:ascii="微软雅黑" w:hAnsi="微软雅黑" w:eastAsia="微软雅黑"/>
          <w:color w:val="000000"/>
        </w:rPr>
        <w:t xml:space="preserve">  投标人名称（盖章）</w:t>
      </w:r>
      <w:r>
        <w:rPr>
          <w:rFonts w:hint="eastAsia" w:ascii="微软雅黑" w:hAnsi="微软雅黑" w:eastAsia="微软雅黑"/>
          <w:bCs/>
          <w:color w:val="000000"/>
        </w:rPr>
        <w:t>：</w:t>
      </w:r>
    </w:p>
    <w:p>
      <w:pPr>
        <w:pStyle w:val="7"/>
        <w:snapToGrid w:val="0"/>
        <w:spacing w:before="120" w:line="0" w:lineRule="atLeast"/>
        <w:ind w:right="420" w:firstLine="4830" w:firstLineChars="2300"/>
        <w:rPr>
          <w:rFonts w:ascii="微软雅黑" w:hAnsi="微软雅黑" w:eastAsia="微软雅黑"/>
          <w:bCs/>
          <w:u w:val="single"/>
        </w:rPr>
      </w:pPr>
      <w:r>
        <w:rPr>
          <w:rFonts w:hint="eastAsia" w:ascii="微软雅黑" w:hAnsi="微软雅黑" w:eastAsia="微软雅黑"/>
          <w:color w:val="000000"/>
        </w:rPr>
        <w:t>法定代表人或授权代表签署</w:t>
      </w:r>
      <w:r>
        <w:rPr>
          <w:rFonts w:hint="eastAsia" w:ascii="微软雅黑" w:hAnsi="微软雅黑" w:eastAsia="微软雅黑"/>
          <w:bCs/>
          <w:color w:val="000000"/>
        </w:rPr>
        <w:t>：</w:t>
      </w:r>
    </w:p>
    <w:p>
      <w:pPr>
        <w:spacing w:line="0" w:lineRule="atLeast"/>
        <w:rPr>
          <w:rFonts w:ascii="微软雅黑" w:hAnsi="微软雅黑" w:eastAsia="微软雅黑"/>
          <w:bCs/>
          <w:szCs w:val="21"/>
        </w:rPr>
      </w:pPr>
      <w:r>
        <w:rPr>
          <w:rFonts w:hint="eastAsia" w:ascii="微软雅黑" w:hAnsi="微软雅黑" w:eastAsia="微软雅黑"/>
          <w:color w:val="000000"/>
          <w:szCs w:val="21"/>
        </w:rPr>
        <w:t xml:space="preserve">                                                               日期：    </w:t>
      </w:r>
      <w:r>
        <w:rPr>
          <w:rFonts w:hint="eastAsia" w:ascii="微软雅黑" w:hAnsi="微软雅黑" w:eastAsia="微软雅黑"/>
          <w:bCs/>
          <w:szCs w:val="21"/>
        </w:rPr>
        <w:t>年   月   日</w:t>
      </w:r>
    </w:p>
    <w:p>
      <w:pPr>
        <w:spacing w:line="0" w:lineRule="atLeast"/>
        <w:rPr>
          <w:rFonts w:ascii="微软雅黑" w:hAnsi="微软雅黑" w:eastAsia="微软雅黑"/>
          <w:bCs/>
          <w:szCs w:val="21"/>
        </w:rPr>
      </w:pPr>
    </w:p>
    <w:p>
      <w:pPr>
        <w:rPr>
          <w:rFonts w:ascii="微软雅黑" w:hAnsi="微软雅黑" w:eastAsia="微软雅黑"/>
          <w:szCs w:val="21"/>
        </w:rPr>
      </w:pPr>
    </w:p>
    <w:sectPr>
      <w:pgSz w:w="11906" w:h="16838"/>
      <w:pgMar w:top="1247" w:right="1077" w:bottom="1247" w:left="107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Courier New">
    <w:panose1 w:val="02070309020205020404"/>
    <w:charset w:val="00"/>
    <w:family w:val="modern"/>
    <w:pitch w:val="default"/>
    <w:sig w:usb0="E0002AFF" w:usb1="C0007843" w:usb2="00000009" w:usb3="00000000" w:csb0="400001FF" w:csb1="FFFF0000"/>
  </w:font>
  <w:font w:name="微软雅黑">
    <w:panose1 w:val="020B0503020204020204"/>
    <w:charset w:val="86"/>
    <w:family w:val="swiss"/>
    <w:pitch w:val="default"/>
    <w:sig w:usb0="80000287" w:usb1="280F3C52"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F2488F"/>
    <w:multiLevelType w:val="multilevel"/>
    <w:tmpl w:val="01F2488F"/>
    <w:lvl w:ilvl="0" w:tentative="0">
      <w:start w:val="1"/>
      <w:numFmt w:val="upperLetter"/>
      <w:lvlText w:val="%1."/>
      <w:lvlJc w:val="left"/>
      <w:pPr>
        <w:ind w:left="420" w:hanging="420"/>
      </w:pPr>
      <w:rPr>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7C832A3"/>
    <w:multiLevelType w:val="multilevel"/>
    <w:tmpl w:val="07C832A3"/>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10472412"/>
    <w:multiLevelType w:val="multilevel"/>
    <w:tmpl w:val="10472412"/>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341FB72A"/>
    <w:multiLevelType w:val="singleLevel"/>
    <w:tmpl w:val="341FB72A"/>
    <w:lvl w:ilvl="0" w:tentative="0">
      <w:start w:val="1"/>
      <w:numFmt w:val="lowerLetter"/>
      <w:suff w:val="space"/>
      <w:lvlText w:val="%1)"/>
      <w:lvlJc w:val="left"/>
    </w:lvl>
  </w:abstractNum>
  <w:abstractNum w:abstractNumId="4">
    <w:nsid w:val="347E77B7"/>
    <w:multiLevelType w:val="multilevel"/>
    <w:tmpl w:val="347E77B7"/>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34EE52CC"/>
    <w:multiLevelType w:val="multilevel"/>
    <w:tmpl w:val="34EE52CC"/>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470426E5"/>
    <w:multiLevelType w:val="multilevel"/>
    <w:tmpl w:val="470426E5"/>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59695F82"/>
    <w:multiLevelType w:val="multilevel"/>
    <w:tmpl w:val="59695F82"/>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bullet"/>
      <w:lvlText w:val=""/>
      <w:lvlJc w:val="left"/>
      <w:pPr>
        <w:ind w:left="1260" w:hanging="420"/>
      </w:pPr>
      <w:rPr>
        <w:rFonts w:hint="default" w:ascii="Wingdings" w:hAnsi="Wingdings"/>
        <w:color w:val="auto"/>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5FAA39DE"/>
    <w:multiLevelType w:val="multilevel"/>
    <w:tmpl w:val="5FAA39DE"/>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60A85C37"/>
    <w:multiLevelType w:val="multilevel"/>
    <w:tmpl w:val="60A85C37"/>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630F0A71"/>
    <w:multiLevelType w:val="multilevel"/>
    <w:tmpl w:val="630F0A71"/>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70AE1911"/>
    <w:multiLevelType w:val="multilevel"/>
    <w:tmpl w:val="70AE1911"/>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71A479E0"/>
    <w:multiLevelType w:val="multilevel"/>
    <w:tmpl w:val="71A479E0"/>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bullet"/>
      <w:lvlText w:val=""/>
      <w:lvlJc w:val="left"/>
      <w:pPr>
        <w:ind w:left="1260" w:hanging="420"/>
      </w:pPr>
      <w:rPr>
        <w:rFonts w:hint="default" w:ascii="Wingdings" w:hAnsi="Wingdings"/>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5"/>
  </w:num>
  <w:num w:numId="2">
    <w:abstractNumId w:val="10"/>
  </w:num>
  <w:num w:numId="3">
    <w:abstractNumId w:val="11"/>
  </w:num>
  <w:num w:numId="4">
    <w:abstractNumId w:val="2"/>
  </w:num>
  <w:num w:numId="5">
    <w:abstractNumId w:val="0"/>
  </w:num>
  <w:num w:numId="6">
    <w:abstractNumId w:val="9"/>
  </w:num>
  <w:num w:numId="7">
    <w:abstractNumId w:val="12"/>
  </w:num>
  <w:num w:numId="8">
    <w:abstractNumId w:val="6"/>
  </w:num>
  <w:num w:numId="9">
    <w:abstractNumId w:val="1"/>
  </w:num>
  <w:num w:numId="10">
    <w:abstractNumId w:val="7"/>
  </w:num>
  <w:num w:numId="11">
    <w:abstractNumId w:val="3"/>
  </w:num>
  <w:num w:numId="12">
    <w:abstractNumId w:val="8"/>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VhMTAyZWQwODNmYWU3YThmMGJiZTUwY2YxZTE4NTYifQ=="/>
  </w:docVars>
  <w:rsids>
    <w:rsidRoot w:val="00D628DB"/>
    <w:rsid w:val="00023B09"/>
    <w:rsid w:val="00026CEC"/>
    <w:rsid w:val="00034C0A"/>
    <w:rsid w:val="0007722A"/>
    <w:rsid w:val="000856C3"/>
    <w:rsid w:val="00091B76"/>
    <w:rsid w:val="000A29A0"/>
    <w:rsid w:val="000B2E56"/>
    <w:rsid w:val="000B53DD"/>
    <w:rsid w:val="000C68CF"/>
    <w:rsid w:val="00114C1A"/>
    <w:rsid w:val="00144958"/>
    <w:rsid w:val="00166161"/>
    <w:rsid w:val="001763DA"/>
    <w:rsid w:val="001E1B2D"/>
    <w:rsid w:val="00221B83"/>
    <w:rsid w:val="002263B0"/>
    <w:rsid w:val="00240DFF"/>
    <w:rsid w:val="00272282"/>
    <w:rsid w:val="00275EC1"/>
    <w:rsid w:val="00282BB1"/>
    <w:rsid w:val="002846CE"/>
    <w:rsid w:val="00293B97"/>
    <w:rsid w:val="00295F35"/>
    <w:rsid w:val="002C4412"/>
    <w:rsid w:val="002D5D83"/>
    <w:rsid w:val="002E13E3"/>
    <w:rsid w:val="002F4EB6"/>
    <w:rsid w:val="002F67E7"/>
    <w:rsid w:val="00306F5D"/>
    <w:rsid w:val="00310C25"/>
    <w:rsid w:val="00351F0F"/>
    <w:rsid w:val="003562F9"/>
    <w:rsid w:val="00365BF7"/>
    <w:rsid w:val="00366688"/>
    <w:rsid w:val="003679EB"/>
    <w:rsid w:val="00375316"/>
    <w:rsid w:val="003775DB"/>
    <w:rsid w:val="00393856"/>
    <w:rsid w:val="003A57F9"/>
    <w:rsid w:val="003C22CE"/>
    <w:rsid w:val="003E3CB8"/>
    <w:rsid w:val="004032E3"/>
    <w:rsid w:val="0040602C"/>
    <w:rsid w:val="004532C3"/>
    <w:rsid w:val="00490394"/>
    <w:rsid w:val="004B23A6"/>
    <w:rsid w:val="004B69BC"/>
    <w:rsid w:val="004D2A25"/>
    <w:rsid w:val="004E5F5E"/>
    <w:rsid w:val="004F1D84"/>
    <w:rsid w:val="00516F49"/>
    <w:rsid w:val="00525198"/>
    <w:rsid w:val="00526323"/>
    <w:rsid w:val="00563E9A"/>
    <w:rsid w:val="0056583A"/>
    <w:rsid w:val="005A178D"/>
    <w:rsid w:val="005A24D7"/>
    <w:rsid w:val="005A29C4"/>
    <w:rsid w:val="005C31C0"/>
    <w:rsid w:val="00610B08"/>
    <w:rsid w:val="00654B4C"/>
    <w:rsid w:val="006603A2"/>
    <w:rsid w:val="0067211E"/>
    <w:rsid w:val="0067317B"/>
    <w:rsid w:val="006E0C40"/>
    <w:rsid w:val="006F64C5"/>
    <w:rsid w:val="00727572"/>
    <w:rsid w:val="00746012"/>
    <w:rsid w:val="00747BB8"/>
    <w:rsid w:val="00750301"/>
    <w:rsid w:val="00754E48"/>
    <w:rsid w:val="00761AF5"/>
    <w:rsid w:val="007673F7"/>
    <w:rsid w:val="00771005"/>
    <w:rsid w:val="007A5BBA"/>
    <w:rsid w:val="007B2AE8"/>
    <w:rsid w:val="007F4515"/>
    <w:rsid w:val="0084345D"/>
    <w:rsid w:val="00862C1A"/>
    <w:rsid w:val="008961E3"/>
    <w:rsid w:val="008C2282"/>
    <w:rsid w:val="008C3F59"/>
    <w:rsid w:val="008D4F34"/>
    <w:rsid w:val="008F10C9"/>
    <w:rsid w:val="009048BC"/>
    <w:rsid w:val="00905940"/>
    <w:rsid w:val="00920D56"/>
    <w:rsid w:val="00930CBC"/>
    <w:rsid w:val="00932EC6"/>
    <w:rsid w:val="00982D0C"/>
    <w:rsid w:val="00985089"/>
    <w:rsid w:val="00987F1A"/>
    <w:rsid w:val="009A2499"/>
    <w:rsid w:val="009A6B74"/>
    <w:rsid w:val="009B67D3"/>
    <w:rsid w:val="009D3C5C"/>
    <w:rsid w:val="009E48CF"/>
    <w:rsid w:val="009F1B1A"/>
    <w:rsid w:val="00A76683"/>
    <w:rsid w:val="00A82990"/>
    <w:rsid w:val="00A94952"/>
    <w:rsid w:val="00AA198A"/>
    <w:rsid w:val="00AA292D"/>
    <w:rsid w:val="00AB249F"/>
    <w:rsid w:val="00AB77D0"/>
    <w:rsid w:val="00AD6E82"/>
    <w:rsid w:val="00AF2DF8"/>
    <w:rsid w:val="00B12D84"/>
    <w:rsid w:val="00B16379"/>
    <w:rsid w:val="00B51E91"/>
    <w:rsid w:val="00B55C15"/>
    <w:rsid w:val="00B65FAC"/>
    <w:rsid w:val="00B86B3C"/>
    <w:rsid w:val="00B91320"/>
    <w:rsid w:val="00BA3032"/>
    <w:rsid w:val="00BA77FA"/>
    <w:rsid w:val="00BB6688"/>
    <w:rsid w:val="00BE0140"/>
    <w:rsid w:val="00BE2629"/>
    <w:rsid w:val="00BF4FC9"/>
    <w:rsid w:val="00C202BF"/>
    <w:rsid w:val="00C239C0"/>
    <w:rsid w:val="00C32E75"/>
    <w:rsid w:val="00C56526"/>
    <w:rsid w:val="00C604CA"/>
    <w:rsid w:val="00C626E7"/>
    <w:rsid w:val="00C66F19"/>
    <w:rsid w:val="00C7549A"/>
    <w:rsid w:val="00C761B7"/>
    <w:rsid w:val="00C945B7"/>
    <w:rsid w:val="00CF1CE4"/>
    <w:rsid w:val="00D02FF6"/>
    <w:rsid w:val="00D31822"/>
    <w:rsid w:val="00D40D5D"/>
    <w:rsid w:val="00D609F7"/>
    <w:rsid w:val="00D628DB"/>
    <w:rsid w:val="00D75C07"/>
    <w:rsid w:val="00D841C5"/>
    <w:rsid w:val="00D9537C"/>
    <w:rsid w:val="00DA1DE4"/>
    <w:rsid w:val="00DC7A6B"/>
    <w:rsid w:val="00E070BB"/>
    <w:rsid w:val="00E83209"/>
    <w:rsid w:val="00E86FC1"/>
    <w:rsid w:val="00EC2AD6"/>
    <w:rsid w:val="00EE0DD3"/>
    <w:rsid w:val="00EF1315"/>
    <w:rsid w:val="00EF6651"/>
    <w:rsid w:val="00EF717F"/>
    <w:rsid w:val="00F05D29"/>
    <w:rsid w:val="00F06E4A"/>
    <w:rsid w:val="00F34A7F"/>
    <w:rsid w:val="00F375A2"/>
    <w:rsid w:val="00F40504"/>
    <w:rsid w:val="00F9539D"/>
    <w:rsid w:val="00FA7B5A"/>
    <w:rsid w:val="00FB3121"/>
    <w:rsid w:val="00FD2186"/>
    <w:rsid w:val="00FD5B16"/>
    <w:rsid w:val="00FF1400"/>
    <w:rsid w:val="00FF2F37"/>
    <w:rsid w:val="0113165A"/>
    <w:rsid w:val="012B25E9"/>
    <w:rsid w:val="03C2759E"/>
    <w:rsid w:val="055444FF"/>
    <w:rsid w:val="059960DD"/>
    <w:rsid w:val="08EF3324"/>
    <w:rsid w:val="09776BFA"/>
    <w:rsid w:val="09EE6CD5"/>
    <w:rsid w:val="0A7E35B5"/>
    <w:rsid w:val="0AD957A3"/>
    <w:rsid w:val="0F470CEA"/>
    <w:rsid w:val="11FE781A"/>
    <w:rsid w:val="13275EBD"/>
    <w:rsid w:val="15520DDC"/>
    <w:rsid w:val="15EF7C3A"/>
    <w:rsid w:val="163F6E21"/>
    <w:rsid w:val="176834A0"/>
    <w:rsid w:val="1C852327"/>
    <w:rsid w:val="20C242E2"/>
    <w:rsid w:val="216223B0"/>
    <w:rsid w:val="229D5EC3"/>
    <w:rsid w:val="242D4168"/>
    <w:rsid w:val="24A31D27"/>
    <w:rsid w:val="26AB75C6"/>
    <w:rsid w:val="28937268"/>
    <w:rsid w:val="29181208"/>
    <w:rsid w:val="2A571CD2"/>
    <w:rsid w:val="2C385D6B"/>
    <w:rsid w:val="2C400B34"/>
    <w:rsid w:val="2D6F0983"/>
    <w:rsid w:val="313C50E1"/>
    <w:rsid w:val="320478CC"/>
    <w:rsid w:val="32F4072F"/>
    <w:rsid w:val="35EE4F95"/>
    <w:rsid w:val="35FB526F"/>
    <w:rsid w:val="37186CBA"/>
    <w:rsid w:val="3B4735A3"/>
    <w:rsid w:val="3ED80093"/>
    <w:rsid w:val="41020BFC"/>
    <w:rsid w:val="42B041B0"/>
    <w:rsid w:val="46DA0B11"/>
    <w:rsid w:val="4971045B"/>
    <w:rsid w:val="4B37697B"/>
    <w:rsid w:val="4C917FF1"/>
    <w:rsid w:val="532F4F57"/>
    <w:rsid w:val="538A650D"/>
    <w:rsid w:val="54742497"/>
    <w:rsid w:val="55915B94"/>
    <w:rsid w:val="5765363E"/>
    <w:rsid w:val="578F0DCF"/>
    <w:rsid w:val="59317156"/>
    <w:rsid w:val="5A821318"/>
    <w:rsid w:val="5BC343E8"/>
    <w:rsid w:val="5F013510"/>
    <w:rsid w:val="60F71232"/>
    <w:rsid w:val="63D44349"/>
    <w:rsid w:val="64853FD8"/>
    <w:rsid w:val="673E56EA"/>
    <w:rsid w:val="7001562B"/>
    <w:rsid w:val="701C7567"/>
    <w:rsid w:val="725F3C53"/>
    <w:rsid w:val="77791920"/>
    <w:rsid w:val="79865022"/>
    <w:rsid w:val="7ADF1783"/>
    <w:rsid w:val="7CCB13AA"/>
    <w:rsid w:val="7E3A7D1F"/>
    <w:rsid w:val="7F4245C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9"/>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0"/>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23"/>
    <w:unhideWhenUsed/>
    <w:qFormat/>
    <w:uiPriority w:val="9"/>
    <w:pPr>
      <w:keepNext/>
      <w:keepLines/>
      <w:spacing w:before="260" w:after="260" w:line="416" w:lineRule="auto"/>
      <w:outlineLvl w:val="2"/>
    </w:pPr>
    <w:rPr>
      <w:b/>
      <w:bCs/>
      <w:sz w:val="32"/>
      <w:szCs w:val="32"/>
    </w:rPr>
  </w:style>
  <w:style w:type="character" w:default="1" w:styleId="14">
    <w:name w:val="Default Paragraph Font"/>
    <w:semiHidden/>
    <w:unhideWhenUsed/>
    <w:uiPriority w:val="1"/>
  </w:style>
  <w:style w:type="table" w:default="1" w:styleId="13">
    <w:name w:val="Normal Table"/>
    <w:semiHidden/>
    <w:unhideWhenUsed/>
    <w:uiPriority w:val="99"/>
    <w:tblPr>
      <w:tblCellMar>
        <w:top w:w="0" w:type="dxa"/>
        <w:left w:w="108" w:type="dxa"/>
        <w:bottom w:w="0" w:type="dxa"/>
        <w:right w:w="108" w:type="dxa"/>
      </w:tblCellMar>
    </w:tblPr>
  </w:style>
  <w:style w:type="paragraph" w:styleId="5">
    <w:name w:val="Normal Indent"/>
    <w:basedOn w:val="1"/>
    <w:link w:val="35"/>
    <w:qFormat/>
    <w:uiPriority w:val="0"/>
    <w:pPr>
      <w:ind w:firstLine="420" w:firstLineChars="200"/>
    </w:pPr>
    <w:rPr>
      <w:kern w:val="0"/>
      <w:sz w:val="20"/>
    </w:rPr>
  </w:style>
  <w:style w:type="paragraph" w:styleId="6">
    <w:name w:val="toc 3"/>
    <w:basedOn w:val="1"/>
    <w:next w:val="1"/>
    <w:unhideWhenUsed/>
    <w:qFormat/>
    <w:uiPriority w:val="39"/>
    <w:pPr>
      <w:ind w:left="840" w:leftChars="400"/>
    </w:pPr>
  </w:style>
  <w:style w:type="paragraph" w:styleId="7">
    <w:name w:val="Plain Text"/>
    <w:basedOn w:val="1"/>
    <w:link w:val="25"/>
    <w:qFormat/>
    <w:uiPriority w:val="0"/>
    <w:rPr>
      <w:rFonts w:ascii="宋体" w:hAnsi="Courier New"/>
      <w:szCs w:val="21"/>
    </w:rPr>
  </w:style>
  <w:style w:type="paragraph" w:styleId="8">
    <w:name w:val="Balloon Text"/>
    <w:basedOn w:val="1"/>
    <w:link w:val="27"/>
    <w:semiHidden/>
    <w:unhideWhenUsed/>
    <w:qFormat/>
    <w:uiPriority w:val="99"/>
    <w:rPr>
      <w:sz w:val="18"/>
      <w:szCs w:val="18"/>
    </w:rPr>
  </w:style>
  <w:style w:type="paragraph" w:styleId="9">
    <w:name w:val="footer"/>
    <w:basedOn w:val="1"/>
    <w:link w:val="18"/>
    <w:semiHidden/>
    <w:unhideWhenUsed/>
    <w:qFormat/>
    <w:uiPriority w:val="99"/>
    <w:pPr>
      <w:tabs>
        <w:tab w:val="center" w:pos="4153"/>
        <w:tab w:val="right" w:pos="8306"/>
      </w:tabs>
      <w:snapToGrid w:val="0"/>
      <w:jc w:val="left"/>
    </w:pPr>
    <w:rPr>
      <w:sz w:val="18"/>
      <w:szCs w:val="18"/>
    </w:rPr>
  </w:style>
  <w:style w:type="paragraph" w:styleId="10">
    <w:name w:val="header"/>
    <w:basedOn w:val="1"/>
    <w:link w:val="17"/>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unhideWhenUsed/>
    <w:qFormat/>
    <w:uiPriority w:val="39"/>
  </w:style>
  <w:style w:type="paragraph" w:styleId="12">
    <w:name w:val="toc 2"/>
    <w:basedOn w:val="1"/>
    <w:next w:val="1"/>
    <w:unhideWhenUsed/>
    <w:qFormat/>
    <w:uiPriority w:val="39"/>
    <w:pPr>
      <w:ind w:left="420" w:leftChars="200"/>
    </w:pPr>
  </w:style>
  <w:style w:type="character" w:styleId="15">
    <w:name w:val="Strong"/>
    <w:basedOn w:val="14"/>
    <w:qFormat/>
    <w:uiPriority w:val="22"/>
    <w:rPr>
      <w:b/>
      <w:bCs/>
    </w:rPr>
  </w:style>
  <w:style w:type="character" w:styleId="16">
    <w:name w:val="Hyperlink"/>
    <w:basedOn w:val="14"/>
    <w:unhideWhenUsed/>
    <w:qFormat/>
    <w:uiPriority w:val="99"/>
    <w:rPr>
      <w:color w:val="0000FF" w:themeColor="hyperlink"/>
      <w:u w:val="single"/>
      <w14:textFill>
        <w14:solidFill>
          <w14:schemeClr w14:val="hlink"/>
        </w14:solidFill>
      </w14:textFill>
    </w:rPr>
  </w:style>
  <w:style w:type="character" w:customStyle="1" w:styleId="17">
    <w:name w:val="页眉 字符"/>
    <w:basedOn w:val="14"/>
    <w:link w:val="10"/>
    <w:semiHidden/>
    <w:qFormat/>
    <w:uiPriority w:val="99"/>
    <w:rPr>
      <w:sz w:val="18"/>
      <w:szCs w:val="18"/>
    </w:rPr>
  </w:style>
  <w:style w:type="character" w:customStyle="1" w:styleId="18">
    <w:name w:val="页脚 字符"/>
    <w:basedOn w:val="14"/>
    <w:link w:val="9"/>
    <w:semiHidden/>
    <w:qFormat/>
    <w:uiPriority w:val="99"/>
    <w:rPr>
      <w:sz w:val="18"/>
      <w:szCs w:val="18"/>
    </w:rPr>
  </w:style>
  <w:style w:type="character" w:customStyle="1" w:styleId="19">
    <w:name w:val="标题 1 字符"/>
    <w:basedOn w:val="14"/>
    <w:link w:val="2"/>
    <w:qFormat/>
    <w:uiPriority w:val="9"/>
    <w:rPr>
      <w:rFonts w:ascii="Times New Roman" w:hAnsi="Times New Roman" w:eastAsia="宋体" w:cs="Times New Roman"/>
      <w:b/>
      <w:bCs/>
      <w:kern w:val="44"/>
      <w:sz w:val="44"/>
      <w:szCs w:val="44"/>
    </w:rPr>
  </w:style>
  <w:style w:type="character" w:customStyle="1" w:styleId="20">
    <w:name w:val="标题 2 字符"/>
    <w:basedOn w:val="14"/>
    <w:link w:val="3"/>
    <w:qFormat/>
    <w:uiPriority w:val="9"/>
    <w:rPr>
      <w:rFonts w:asciiTheme="majorHAnsi" w:hAnsiTheme="majorHAnsi" w:eastAsiaTheme="majorEastAsia" w:cstheme="majorBidi"/>
      <w:b/>
      <w:bCs/>
      <w:sz w:val="32"/>
      <w:szCs w:val="32"/>
    </w:rPr>
  </w:style>
  <w:style w:type="paragraph" w:styleId="21">
    <w:name w:val="List Paragraph"/>
    <w:basedOn w:val="1"/>
    <w:link w:val="22"/>
    <w:qFormat/>
    <w:uiPriority w:val="34"/>
    <w:pPr>
      <w:ind w:firstLine="420" w:firstLineChars="200"/>
    </w:pPr>
  </w:style>
  <w:style w:type="character" w:customStyle="1" w:styleId="22">
    <w:name w:val="列表段落 字符"/>
    <w:link w:val="21"/>
    <w:qFormat/>
    <w:uiPriority w:val="34"/>
    <w:rPr>
      <w:rFonts w:ascii="Times New Roman" w:hAnsi="Times New Roman" w:eastAsia="宋体" w:cs="Times New Roman"/>
      <w:szCs w:val="24"/>
    </w:rPr>
  </w:style>
  <w:style w:type="character" w:customStyle="1" w:styleId="23">
    <w:name w:val="标题 3 字符"/>
    <w:basedOn w:val="14"/>
    <w:link w:val="4"/>
    <w:qFormat/>
    <w:uiPriority w:val="9"/>
    <w:rPr>
      <w:rFonts w:ascii="Times New Roman" w:hAnsi="Times New Roman" w:eastAsia="宋体" w:cs="Times New Roman"/>
      <w:b/>
      <w:bCs/>
      <w:sz w:val="32"/>
      <w:szCs w:val="32"/>
    </w:rPr>
  </w:style>
  <w:style w:type="paragraph" w:customStyle="1" w:styleId="24">
    <w:name w:val="Default"/>
    <w:qFormat/>
    <w:uiPriority w:val="0"/>
    <w:pPr>
      <w:widowControl w:val="0"/>
      <w:autoSpaceDE w:val="0"/>
      <w:autoSpaceDN w:val="0"/>
      <w:adjustRightInd w:val="0"/>
    </w:pPr>
    <w:rPr>
      <w:rFonts w:ascii="微软雅黑" w:hAnsi="Times New Roman" w:eastAsia="微软雅黑" w:cs="微软雅黑"/>
      <w:color w:val="000000"/>
      <w:sz w:val="24"/>
      <w:szCs w:val="24"/>
      <w:lang w:val="en-US" w:eastAsia="zh-CN" w:bidi="ar-SA"/>
    </w:rPr>
  </w:style>
  <w:style w:type="character" w:customStyle="1" w:styleId="25">
    <w:name w:val="纯文本 字符"/>
    <w:basedOn w:val="14"/>
    <w:link w:val="7"/>
    <w:qFormat/>
    <w:uiPriority w:val="0"/>
    <w:rPr>
      <w:rFonts w:ascii="宋体" w:hAnsi="Courier New" w:eastAsia="宋体" w:cs="Times New Roman"/>
      <w:szCs w:val="21"/>
    </w:rPr>
  </w:style>
  <w:style w:type="paragraph" w:customStyle="1" w:styleId="26">
    <w:name w:val="TOC 标题1"/>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7">
    <w:name w:val="批注框文本 字符"/>
    <w:basedOn w:val="14"/>
    <w:link w:val="8"/>
    <w:semiHidden/>
    <w:qFormat/>
    <w:uiPriority w:val="99"/>
    <w:rPr>
      <w:rFonts w:ascii="Times New Roman" w:hAnsi="Times New Roman" w:eastAsia="宋体" w:cs="Times New Roman"/>
      <w:sz w:val="18"/>
      <w:szCs w:val="18"/>
    </w:rPr>
  </w:style>
  <w:style w:type="paragraph" w:customStyle="1" w:styleId="28">
    <w:name w:val="首行缩进2字符"/>
    <w:basedOn w:val="1"/>
    <w:qFormat/>
    <w:uiPriority w:val="0"/>
    <w:pPr>
      <w:ind w:firstLine="200"/>
    </w:pPr>
    <w:rPr>
      <w:rFonts w:ascii="Calibri" w:hAnsi="Calibri"/>
    </w:rPr>
  </w:style>
  <w:style w:type="paragraph" w:customStyle="1" w:styleId="29">
    <w:name w:val="TOC 标题2"/>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0">
    <w:name w:val="font01"/>
    <w:basedOn w:val="14"/>
    <w:qFormat/>
    <w:uiPriority w:val="0"/>
    <w:rPr>
      <w:rFonts w:hint="eastAsia" w:ascii="宋体" w:hAnsi="宋体" w:eastAsia="宋体" w:cs="宋体"/>
      <w:color w:val="000000"/>
      <w:sz w:val="22"/>
      <w:szCs w:val="22"/>
      <w:u w:val="none"/>
    </w:rPr>
  </w:style>
  <w:style w:type="paragraph" w:customStyle="1" w:styleId="31">
    <w:name w:val="TOC 标题3"/>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2">
    <w:name w:val="text"/>
    <w:basedOn w:val="14"/>
    <w:qFormat/>
    <w:uiPriority w:val="0"/>
  </w:style>
  <w:style w:type="character" w:customStyle="1" w:styleId="33">
    <w:name w:val="文档正文 Char"/>
    <w:basedOn w:val="14"/>
    <w:link w:val="34"/>
    <w:qFormat/>
    <w:uiPriority w:val="0"/>
    <w:rPr>
      <w:rFonts w:ascii="宋体" w:hAnsi="宋体"/>
      <w:sz w:val="28"/>
    </w:rPr>
  </w:style>
  <w:style w:type="paragraph" w:customStyle="1" w:styleId="34">
    <w:name w:val="文档正文"/>
    <w:basedOn w:val="1"/>
    <w:link w:val="33"/>
    <w:qFormat/>
    <w:uiPriority w:val="0"/>
    <w:pPr>
      <w:adjustRightInd w:val="0"/>
      <w:spacing w:line="480" w:lineRule="exact"/>
      <w:ind w:firstLine="567" w:firstLineChars="200"/>
      <w:textAlignment w:val="baseline"/>
    </w:pPr>
    <w:rPr>
      <w:rFonts w:ascii="宋体" w:hAnsi="宋体"/>
      <w:kern w:val="0"/>
      <w:sz w:val="28"/>
      <w:szCs w:val="20"/>
    </w:rPr>
  </w:style>
  <w:style w:type="character" w:customStyle="1" w:styleId="35">
    <w:name w:val="正文缩进 字符"/>
    <w:basedOn w:val="14"/>
    <w:link w:val="5"/>
    <w:qFormat/>
    <w:uiPriority w:val="0"/>
    <w:rPr>
      <w:szCs w:val="24"/>
    </w:rPr>
  </w:style>
  <w:style w:type="paragraph" w:customStyle="1" w:styleId="36">
    <w:name w:val="我的正文样式 Char"/>
    <w:basedOn w:val="1"/>
    <w:qFormat/>
    <w:uiPriority w:val="0"/>
    <w:pPr>
      <w:spacing w:line="360" w:lineRule="auto"/>
      <w:ind w:firstLine="200" w:firstLineChars="200"/>
    </w:pPr>
    <w:rPr>
      <w:rFonts w:ascii="宋体" w:hAnsi="宋体"/>
      <w:spacing w:val="24"/>
      <w:sz w:val="24"/>
    </w:rPr>
  </w:style>
  <w:style w:type="character" w:customStyle="1" w:styleId="37">
    <w:name w:val="font41"/>
    <w:basedOn w:val="14"/>
    <w:qFormat/>
    <w:uiPriority w:val="0"/>
    <w:rPr>
      <w:rFonts w:hint="eastAsia" w:ascii="宋体" w:hAnsi="宋体" w:eastAsia="宋体" w:cs="宋体"/>
      <w:color w:val="000000"/>
      <w:sz w:val="16"/>
      <w:szCs w:val="16"/>
      <w:u w:val="none"/>
    </w:rPr>
  </w:style>
  <w:style w:type="character" w:customStyle="1" w:styleId="38">
    <w:name w:val="font11"/>
    <w:basedOn w:val="14"/>
    <w:uiPriority w:val="0"/>
    <w:rPr>
      <w:rFonts w:hint="eastAsia" w:ascii="宋体" w:hAnsi="宋体" w:eastAsia="宋体" w:cs="宋体"/>
      <w:color w:val="000000"/>
      <w:sz w:val="20"/>
      <w:szCs w:val="20"/>
      <w:u w:val="none"/>
    </w:rPr>
  </w:style>
  <w:style w:type="character" w:customStyle="1" w:styleId="39">
    <w:name w:val="font51"/>
    <w:basedOn w:val="14"/>
    <w:qFormat/>
    <w:uiPriority w:val="0"/>
    <w:rPr>
      <w:rFonts w:hint="eastAsia" w:ascii="宋体" w:hAnsi="宋体" w:eastAsia="宋体" w:cs="宋体"/>
      <w:color w:val="000000"/>
      <w:sz w:val="20"/>
      <w:szCs w:val="20"/>
      <w:u w:val="none"/>
    </w:rPr>
  </w:style>
  <w:style w:type="character" w:customStyle="1" w:styleId="40">
    <w:name w:val="font81"/>
    <w:basedOn w:val="14"/>
    <w:qFormat/>
    <w:uiPriority w:val="0"/>
    <w:rPr>
      <w:rFonts w:hint="eastAsia" w:ascii="宋体" w:hAnsi="宋体" w:eastAsia="宋体" w:cs="宋体"/>
      <w:color w:val="FF00FF"/>
      <w:sz w:val="20"/>
      <w:szCs w:val="20"/>
      <w:u w:val="none"/>
    </w:rPr>
  </w:style>
  <w:style w:type="character" w:customStyle="1" w:styleId="41">
    <w:name w:val="font61"/>
    <w:basedOn w:val="14"/>
    <w:qFormat/>
    <w:uiPriority w:val="0"/>
    <w:rPr>
      <w:rFonts w:hint="eastAsia" w:ascii="宋体" w:hAnsi="宋体" w:eastAsia="宋体" w:cs="宋体"/>
      <w:color w:val="FF0000"/>
      <w:sz w:val="20"/>
      <w:szCs w:val="20"/>
      <w:u w:val="none"/>
    </w:rPr>
  </w:style>
  <w:style w:type="paragraph" w:customStyle="1" w:styleId="42">
    <w:name w:val="列表段落1"/>
    <w:basedOn w:val="1"/>
    <w:link w:val="43"/>
    <w:qFormat/>
    <w:uiPriority w:val="34"/>
    <w:pPr>
      <w:ind w:firstLine="420" w:firstLineChars="200"/>
    </w:pPr>
  </w:style>
  <w:style w:type="character" w:customStyle="1" w:styleId="43">
    <w:name w:val="列出段落 Char"/>
    <w:link w:val="42"/>
    <w:qFormat/>
    <w:uiPriority w:val="34"/>
    <w:rPr>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076BA49-A90C-477D-A6F5-F639C767916D}">
  <ds:schemaRefs/>
</ds:datastoreItem>
</file>

<file path=docProps/app.xml><?xml version="1.0" encoding="utf-8"?>
<Properties xmlns="http://schemas.openxmlformats.org/officeDocument/2006/extended-properties" xmlns:vt="http://schemas.openxmlformats.org/officeDocument/2006/docPropsVTypes">
  <Template>Normal.dotm</Template>
  <Company>Tuan</Company>
  <Pages>30</Pages>
  <Words>2966</Words>
  <Characters>16909</Characters>
  <Lines>140</Lines>
  <Paragraphs>39</Paragraphs>
  <TotalTime>16</TotalTime>
  <ScaleCrop>false</ScaleCrop>
  <LinksUpToDate>false</LinksUpToDate>
  <CharactersWithSpaces>19836</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2023-07-21T03:01:00Z</dcterms:created>
  <dc:creator>李佳</dc:creator>
  <cp:lastModifiedBy>1126346032</cp:lastModifiedBy>
  <cp:lastPrinted>2023-07-13T09:06:00Z</cp:lastPrinted>
  <dcterms:modified xsi:type="dcterms:W3CDTF">2023-07-21T09:56:15Z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1069B76AB6E643398FD20AE2A72A95C2_13</vt:lpwstr>
  </property>
</Properties>
</file>