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r>
        <w:rPr>
          <w:rFonts w:hint="eastAsia" w:ascii="微软雅黑" w:hAnsi="微软雅黑" w:eastAsia="微软雅黑"/>
          <w:b/>
          <w:bCs/>
          <w:color w:val="auto"/>
          <w:spacing w:val="26"/>
          <w:sz w:val="32"/>
          <w:szCs w:val="32"/>
          <w:highlight w:val="none"/>
          <w:shd w:val="clear" w:color="auto" w:fill="FFFFFF" w:themeFill="background1"/>
        </w:rPr>
        <w:t>北国商城股份有限公司物流产业园(石家庄</w:t>
      </w:r>
      <w:r>
        <w:rPr>
          <w:rFonts w:ascii="微软雅黑" w:hAnsi="微软雅黑" w:eastAsia="微软雅黑"/>
          <w:b/>
          <w:bCs/>
          <w:color w:val="auto"/>
          <w:spacing w:val="26"/>
          <w:sz w:val="32"/>
          <w:szCs w:val="32"/>
          <w:highlight w:val="none"/>
          <w:shd w:val="clear" w:color="auto" w:fill="FFFFFF" w:themeFill="background1"/>
        </w:rPr>
        <w:t>)</w:t>
      </w:r>
      <w:r>
        <w:rPr>
          <w:rFonts w:hint="eastAsia" w:ascii="微软雅黑" w:hAnsi="微软雅黑" w:eastAsia="微软雅黑"/>
          <w:b/>
          <w:bCs/>
          <w:color w:val="auto"/>
          <w:spacing w:val="26"/>
          <w:sz w:val="32"/>
          <w:szCs w:val="32"/>
          <w:highlight w:val="none"/>
          <w:shd w:val="clear" w:color="auto" w:fill="FFFFFF" w:themeFill="background1"/>
        </w:rPr>
        <w:t>分公司</w:t>
      </w:r>
    </w:p>
    <w:p>
      <w:pPr>
        <w:adjustRightInd w:val="0"/>
        <w:snapToGrid w:val="0"/>
        <w:spacing w:line="360" w:lineRule="auto"/>
        <w:jc w:val="center"/>
        <w:rPr>
          <w:rFonts w:ascii="微软雅黑" w:hAnsi="微软雅黑" w:eastAsia="微软雅黑"/>
          <w:b/>
          <w:bCs/>
          <w:color w:val="auto"/>
          <w:spacing w:val="26"/>
          <w:szCs w:val="21"/>
          <w:highlight w:val="none"/>
          <w:shd w:val="clear" w:color="auto" w:fill="FFFFFF" w:themeFill="background1"/>
        </w:rPr>
      </w:pPr>
    </w:p>
    <w:p>
      <w:pPr>
        <w:adjustRightInd w:val="0"/>
        <w:snapToGrid w:val="0"/>
        <w:spacing w:line="360" w:lineRule="auto"/>
        <w:jc w:val="center"/>
        <w:rPr>
          <w:rFonts w:hint="eastAsia" w:ascii="微软雅黑" w:hAnsi="微软雅黑" w:eastAsia="微软雅黑" w:cs="微软雅黑"/>
          <w:b/>
          <w:color w:val="auto"/>
          <w:kern w:val="0"/>
          <w:sz w:val="32"/>
          <w:szCs w:val="32"/>
          <w:highlight w:val="none"/>
          <w:shd w:val="clear" w:color="auto" w:fill="FFFFFF" w:themeFill="background1"/>
          <w:lang w:eastAsia="zh-CN"/>
        </w:rPr>
      </w:pPr>
      <w:r>
        <w:rPr>
          <w:rFonts w:hint="eastAsia" w:ascii="微软雅黑" w:hAnsi="微软雅黑" w:eastAsia="微软雅黑" w:cs="微软雅黑"/>
          <w:b/>
          <w:color w:val="auto"/>
          <w:kern w:val="0"/>
          <w:sz w:val="32"/>
          <w:szCs w:val="32"/>
          <w:highlight w:val="none"/>
          <w:shd w:val="clear" w:color="auto" w:fill="FFFFFF" w:themeFill="background1"/>
          <w:lang w:val="en-US" w:eastAsia="zh-CN"/>
        </w:rPr>
        <w:t>不锈钢</w:t>
      </w:r>
      <w:r>
        <w:rPr>
          <w:rFonts w:hint="eastAsia" w:ascii="微软雅黑" w:hAnsi="微软雅黑" w:eastAsia="微软雅黑" w:cs="微软雅黑"/>
          <w:b/>
          <w:color w:val="auto"/>
          <w:kern w:val="0"/>
          <w:sz w:val="32"/>
          <w:szCs w:val="32"/>
          <w:highlight w:val="none"/>
          <w:shd w:val="clear" w:color="auto" w:fill="FFFFFF" w:themeFill="background1"/>
        </w:rPr>
        <w:t>设备</w:t>
      </w:r>
      <w:r>
        <w:rPr>
          <w:rFonts w:hint="eastAsia" w:ascii="微软雅黑" w:hAnsi="微软雅黑" w:eastAsia="微软雅黑" w:cs="微软雅黑"/>
          <w:b/>
          <w:color w:val="auto"/>
          <w:kern w:val="0"/>
          <w:sz w:val="32"/>
          <w:szCs w:val="32"/>
          <w:highlight w:val="none"/>
          <w:shd w:val="clear" w:color="auto" w:fill="FFFFFF" w:themeFill="background1"/>
          <w:lang w:eastAsia="zh-CN"/>
        </w:rPr>
        <w:t>及相关服务采购项目</w:t>
      </w: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招</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标</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文</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r>
        <w:rPr>
          <w:rFonts w:hint="eastAsia" w:ascii="微软雅黑" w:hAnsi="微软雅黑" w:eastAsia="微软雅黑"/>
          <w:b/>
          <w:bCs/>
          <w:color w:val="auto"/>
          <w:spacing w:val="5"/>
          <w:sz w:val="32"/>
          <w:szCs w:val="32"/>
          <w:highlight w:val="none"/>
          <w:shd w:val="clear" w:color="auto" w:fill="FFFFFF" w:themeFill="background1"/>
        </w:rPr>
        <w:t>件</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p>
    <w:p>
      <w:pPr>
        <w:adjustRightInd w:val="0"/>
        <w:snapToGrid w:val="0"/>
        <w:spacing w:line="360" w:lineRule="auto"/>
        <w:rPr>
          <w:rFonts w:ascii="微软雅黑" w:hAnsi="微软雅黑" w:eastAsia="微软雅黑"/>
          <w:b/>
          <w:bCs/>
          <w:color w:val="auto"/>
          <w:spacing w:val="5"/>
          <w:sz w:val="32"/>
          <w:szCs w:val="32"/>
          <w:highlight w:val="none"/>
          <w:shd w:val="clear" w:color="auto" w:fill="FFFFFF" w:themeFill="background1"/>
        </w:rPr>
      </w:pPr>
    </w:p>
    <w:p>
      <w:pPr>
        <w:autoSpaceDE w:val="0"/>
        <w:autoSpaceDN w:val="0"/>
        <w:adjustRightInd w:val="0"/>
        <w:spacing w:line="360" w:lineRule="auto"/>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 标 人：北国股份有限公司物流产业园（石家庄）分公司</w:t>
      </w:r>
    </w:p>
    <w:p>
      <w:pPr>
        <w:widowControl/>
        <w:spacing w:line="360" w:lineRule="auto"/>
        <w:jc w:val="left"/>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招标时间：</w:t>
      </w:r>
      <w:r>
        <w:rPr>
          <w:rFonts w:ascii="微软雅黑" w:hAnsi="微软雅黑" w:eastAsia="微软雅黑"/>
          <w:b/>
          <w:color w:val="auto"/>
          <w:sz w:val="32"/>
          <w:szCs w:val="32"/>
          <w:highlight w:val="none"/>
          <w:shd w:val="clear" w:color="auto" w:fill="FFFFFF" w:themeFill="background1"/>
        </w:rPr>
        <w:t>202</w:t>
      </w:r>
      <w:r>
        <w:rPr>
          <w:rFonts w:hint="eastAsia" w:ascii="微软雅黑" w:hAnsi="微软雅黑" w:eastAsia="微软雅黑"/>
          <w:b/>
          <w:color w:val="auto"/>
          <w:sz w:val="32"/>
          <w:szCs w:val="32"/>
          <w:highlight w:val="none"/>
          <w:shd w:val="clear" w:color="auto" w:fill="FFFFFF" w:themeFill="background1"/>
          <w:lang w:val="en-US" w:eastAsia="zh-CN"/>
        </w:rPr>
        <w:t>3</w:t>
      </w:r>
      <w:r>
        <w:rPr>
          <w:rFonts w:ascii="微软雅黑" w:hAnsi="微软雅黑" w:eastAsia="微软雅黑"/>
          <w:b/>
          <w:color w:val="auto"/>
          <w:sz w:val="32"/>
          <w:szCs w:val="32"/>
          <w:highlight w:val="none"/>
          <w:shd w:val="clear" w:color="auto" w:fill="FFFFFF" w:themeFill="background1"/>
        </w:rPr>
        <w:t>年</w:t>
      </w:r>
    </w:p>
    <w:p>
      <w:pPr>
        <w:widowControl/>
        <w:spacing w:line="360" w:lineRule="auto"/>
        <w:jc w:val="left"/>
        <w:rPr>
          <w:rFonts w:ascii="微软雅黑" w:hAnsi="微软雅黑" w:eastAsia="微软雅黑"/>
          <w:b/>
          <w:color w:val="auto"/>
          <w:sz w:val="32"/>
          <w:szCs w:val="32"/>
          <w:highlight w:val="none"/>
          <w:u w:val="singl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招标地点：石家庄中山东路188号北国商城</w:t>
      </w:r>
    </w:p>
    <w:p>
      <w:pPr>
        <w:rPr>
          <w:color w:val="auto"/>
          <w:highlight w:val="none"/>
          <w:shd w:val="clear" w:color="auto" w:fill="FFFFFF" w:themeFill="background1"/>
        </w:rPr>
      </w:pPr>
    </w:p>
    <w:p>
      <w:pPr>
        <w:spacing w:line="0" w:lineRule="atLeast"/>
        <w:rPr>
          <w:color w:val="auto"/>
          <w:highlight w:val="none"/>
          <w:shd w:val="clear" w:color="auto" w:fill="FFFFFF" w:themeFill="background1"/>
        </w:rPr>
      </w:pPr>
    </w:p>
    <w:sdt>
      <w:sdtPr>
        <w:rPr>
          <w:rFonts w:hint="eastAsia" w:ascii="微软雅黑" w:hAnsi="微软雅黑" w:eastAsia="微软雅黑" w:cs="微软雅黑"/>
          <w:color w:val="auto"/>
          <w:highlight w:val="none"/>
          <w:shd w:val="clear" w:color="auto" w:fill="FFFFFF" w:themeFill="background1"/>
          <w:lang w:val="zh-CN"/>
        </w:rPr>
        <w:id w:val="5581408"/>
        <w:docPartObj>
          <w:docPartGallery w:val="Table of Contents"/>
          <w:docPartUnique/>
        </w:docPartObj>
      </w:sdtPr>
      <w:sdtEndPr>
        <w:rPr>
          <w:rFonts w:hint="eastAsia" w:ascii="微软雅黑" w:hAnsi="微软雅黑" w:eastAsia="微软雅黑" w:cs="微软雅黑"/>
          <w:color w:val="auto"/>
          <w:highlight w:val="none"/>
          <w:shd w:val="clear" w:color="auto" w:fill="FFFFFF" w:themeFill="background1"/>
          <w:lang w:val="en-US"/>
        </w:rPr>
      </w:sdtEndPr>
      <w:sdt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t>目录</w:t>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color w:val="auto"/>
              <w:highlight w:val="none"/>
              <w:shd w:val="clear" w:color="auto" w:fill="FFFFFF" w:themeFill="background1"/>
            </w:rPr>
            <w:instrText xml:space="preserve"> TOC \o "1-3" \h \z \u </w:instrText>
          </w:r>
          <w:r>
            <w:rPr>
              <w:rFonts w:hint="eastAsia" w:ascii="微软雅黑" w:hAnsi="微软雅黑" w:eastAsia="微软雅黑" w:cs="微软雅黑"/>
              <w:color w:val="auto"/>
              <w:highlight w:val="none"/>
              <w:shd w:val="clear" w:color="auto" w:fill="FFFFFF" w:themeFill="background1"/>
            </w:rPr>
            <w:fldChar w:fldCharType="separate"/>
          </w: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_Toc13025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1.投标</w:t>
          </w:r>
          <w:r>
            <w:rPr>
              <w:rFonts w:ascii="微软雅黑" w:hAnsi="微软雅黑" w:eastAsia="微软雅黑"/>
              <w:szCs w:val="30"/>
              <w:highlight w:val="none"/>
              <w:shd w:val="clear" w:color="auto" w:fill="FFFFFF" w:themeFill="background1"/>
            </w:rPr>
            <w:t>邀请</w:t>
          </w:r>
          <w:r>
            <w:tab/>
          </w:r>
          <w:r>
            <w:fldChar w:fldCharType="begin"/>
          </w:r>
          <w:r>
            <w:instrText xml:space="preserve"> PAGEREF _Toc13025 \h </w:instrText>
          </w:r>
          <w:r>
            <w:fldChar w:fldCharType="separate"/>
          </w:r>
          <w:r>
            <w:t>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_Toc26967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2.投标须知</w:t>
          </w:r>
          <w:r>
            <w:tab/>
          </w:r>
          <w:r>
            <w:fldChar w:fldCharType="begin"/>
          </w:r>
          <w:r>
            <w:instrText xml:space="preserve"> PAGEREF _Toc26967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_Toc24947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2.1概述</w:t>
          </w:r>
          <w:r>
            <w:tab/>
          </w:r>
          <w:r>
            <w:fldChar w:fldCharType="begin"/>
          </w:r>
          <w:r>
            <w:instrText xml:space="preserve"> PAGEREF _Toc24947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_Toc32595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2.2投标人资格要求</w:t>
          </w:r>
          <w:r>
            <w:tab/>
          </w:r>
          <w:r>
            <w:fldChar w:fldCharType="begin"/>
          </w:r>
          <w:r>
            <w:instrText xml:space="preserve"> PAGEREF _Toc32595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_Toc18693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2.3投标文件的组成</w:t>
          </w:r>
          <w:r>
            <w:tab/>
          </w:r>
          <w:r>
            <w:fldChar w:fldCharType="begin"/>
          </w:r>
          <w:r>
            <w:instrText xml:space="preserve"> PAGEREF _Toc18693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_Toc8236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2.4投标文件的编制</w:t>
          </w:r>
          <w:r>
            <w:tab/>
          </w:r>
          <w:r>
            <w:fldChar w:fldCharType="begin"/>
          </w:r>
          <w:r>
            <w:instrText xml:space="preserve"> PAGEREF _Toc8236 \h </w:instrText>
          </w:r>
          <w:r>
            <w:fldChar w:fldCharType="separate"/>
          </w:r>
          <w:r>
            <w:t>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_Toc25463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2.5投标文件的内容</w:t>
          </w:r>
          <w:r>
            <w:tab/>
          </w:r>
          <w:r>
            <w:fldChar w:fldCharType="begin"/>
          </w:r>
          <w:r>
            <w:instrText xml:space="preserve"> PAGEREF _Toc25463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_Toc20229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2.5.1商务标的内容</w:t>
          </w:r>
          <w:r>
            <w:tab/>
          </w:r>
          <w:r>
            <w:fldChar w:fldCharType="begin"/>
          </w:r>
          <w:r>
            <w:instrText xml:space="preserve"> PAGEREF _Toc20229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_Toc31997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2.5.2技术标的内容</w:t>
          </w:r>
          <w:r>
            <w:tab/>
          </w:r>
          <w:r>
            <w:fldChar w:fldCharType="begin"/>
          </w:r>
          <w:r>
            <w:instrText xml:space="preserve"> PAGEREF _Toc31997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_Toc11872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2.6投标报价</w:t>
          </w:r>
          <w:r>
            <w:tab/>
          </w:r>
          <w:r>
            <w:fldChar w:fldCharType="begin"/>
          </w:r>
          <w:r>
            <w:instrText xml:space="preserve"> PAGEREF _Toc11872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2.7投标文件的递交</w:t>
          </w:r>
          <w:r>
            <w:tab/>
          </w:r>
          <w:r>
            <w:fldChar w:fldCharType="begin"/>
          </w:r>
          <w:r>
            <w:instrText xml:space="preserve"> PAGEREF _Toc198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_Toc19609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2.8开标与评标</w:t>
          </w:r>
          <w:r>
            <w:tab/>
          </w:r>
          <w:r>
            <w:fldChar w:fldCharType="begin"/>
          </w:r>
          <w:r>
            <w:instrText xml:space="preserve"> PAGEREF _Toc19609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_Toc31740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2.9授标及签约</w:t>
          </w:r>
          <w:r>
            <w:tab/>
          </w:r>
          <w:r>
            <w:fldChar w:fldCharType="begin"/>
          </w:r>
          <w:r>
            <w:instrText xml:space="preserve"> PAGEREF _Toc31740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_Toc24941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2.9.1投标保证金</w:t>
          </w:r>
          <w:r>
            <w:tab/>
          </w:r>
          <w:r>
            <w:fldChar w:fldCharType="begin"/>
          </w:r>
          <w:r>
            <w:instrText xml:space="preserve"> PAGEREF _Toc24941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_Toc4546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3.招标项目</w:t>
          </w:r>
          <w:r>
            <w:rPr>
              <w:rFonts w:ascii="微软雅黑" w:hAnsi="微软雅黑" w:eastAsia="微软雅黑"/>
              <w:szCs w:val="30"/>
              <w:highlight w:val="none"/>
              <w:shd w:val="clear" w:color="auto" w:fill="FFFFFF" w:themeFill="background1"/>
            </w:rPr>
            <w:t>要求</w:t>
          </w:r>
          <w:r>
            <w:tab/>
          </w:r>
          <w:r>
            <w:fldChar w:fldCharType="begin"/>
          </w:r>
          <w:r>
            <w:instrText xml:space="preserve"> PAGEREF _Toc4546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_Toc27771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3.1招标内容</w:t>
          </w:r>
          <w:r>
            <w:rPr>
              <w:rFonts w:ascii="微软雅黑" w:hAnsi="微软雅黑" w:eastAsia="微软雅黑"/>
              <w:szCs w:val="28"/>
              <w:highlight w:val="none"/>
              <w:shd w:val="clear" w:color="auto" w:fill="FFFFFF" w:themeFill="background1"/>
            </w:rPr>
            <w:t>及要求</w:t>
          </w:r>
          <w:r>
            <w:tab/>
          </w:r>
          <w:r>
            <w:fldChar w:fldCharType="begin"/>
          </w:r>
          <w:r>
            <w:instrText xml:space="preserve"> PAGEREF _Toc27771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_Toc12308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3.1.1需求</w:t>
          </w:r>
          <w:r>
            <w:rPr>
              <w:rFonts w:hint="eastAsia" w:ascii="微软雅黑" w:hAnsi="微软雅黑" w:eastAsia="微软雅黑"/>
              <w:szCs w:val="24"/>
              <w:highlight w:val="none"/>
              <w:shd w:val="clear" w:color="auto" w:fill="FFFFFF" w:themeFill="background1"/>
              <w:lang w:val="en-US" w:eastAsia="zh-CN"/>
            </w:rPr>
            <w:t>说明</w:t>
          </w:r>
          <w:r>
            <w:tab/>
          </w:r>
          <w:r>
            <w:fldChar w:fldCharType="begin"/>
          </w:r>
          <w:r>
            <w:instrText xml:space="preserve"> PAGEREF _Toc12308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_Toc25897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2交付时间</w:t>
          </w:r>
          <w:r>
            <w:tab/>
          </w:r>
          <w:r>
            <w:fldChar w:fldCharType="begin"/>
          </w:r>
          <w:r>
            <w:instrText xml:space="preserve"> PAGEREF _Toc25897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_Toc5305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3交付地点</w:t>
          </w:r>
          <w:r>
            <w:tab/>
          </w:r>
          <w:r>
            <w:fldChar w:fldCharType="begin"/>
          </w:r>
          <w:r>
            <w:instrText xml:space="preserve"> PAGEREF _Toc5305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_Toc28242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4 技术要求</w:t>
          </w:r>
          <w:r>
            <w:tab/>
          </w:r>
          <w:r>
            <w:fldChar w:fldCharType="begin"/>
          </w:r>
          <w:r>
            <w:instrText xml:space="preserve"> PAGEREF _Toc28242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_Toc27296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3.2商品报价要求及服务要求</w:t>
          </w:r>
          <w:r>
            <w:tab/>
          </w:r>
          <w:r>
            <w:fldChar w:fldCharType="begin"/>
          </w:r>
          <w:r>
            <w:instrText xml:space="preserve"> PAGEREF _Toc27296 \h </w:instrText>
          </w:r>
          <w:r>
            <w:fldChar w:fldCharType="separate"/>
          </w:r>
          <w:r>
            <w:t>27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_Toc21659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3.2.1施工要求</w:t>
          </w:r>
          <w:r>
            <w:tab/>
          </w:r>
          <w:r>
            <w:fldChar w:fldCharType="begin"/>
          </w:r>
          <w:r>
            <w:instrText xml:space="preserve"> PAGEREF _Toc21659 \h </w:instrText>
          </w:r>
          <w:r>
            <w:fldChar w:fldCharType="separate"/>
          </w:r>
          <w:r>
            <w:t>27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_Toc19303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3.2.2 售后服务</w:t>
          </w:r>
          <w:r>
            <w:tab/>
          </w:r>
          <w:r>
            <w:fldChar w:fldCharType="begin"/>
          </w:r>
          <w:r>
            <w:instrText xml:space="preserve"> PAGEREF _Toc19303 \h </w:instrText>
          </w:r>
          <w:r>
            <w:fldChar w:fldCharType="separate"/>
          </w:r>
          <w:r>
            <w:t>28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_Toc5239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3.2.3供货要求</w:t>
          </w:r>
          <w:r>
            <w:tab/>
          </w:r>
          <w:r>
            <w:fldChar w:fldCharType="begin"/>
          </w:r>
          <w:r>
            <w:instrText xml:space="preserve"> PAGEREF _Toc5239 \h </w:instrText>
          </w:r>
          <w:r>
            <w:fldChar w:fldCharType="separate"/>
          </w:r>
          <w:r>
            <w:t>28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_Toc3551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3.2.4 培训服务</w:t>
          </w:r>
          <w:r>
            <w:tab/>
          </w:r>
          <w:r>
            <w:fldChar w:fldCharType="begin"/>
          </w:r>
          <w:r>
            <w:instrText xml:space="preserve"> PAGEREF _Toc3551 \h </w:instrText>
          </w:r>
          <w:r>
            <w:fldChar w:fldCharType="separate"/>
          </w:r>
          <w:r>
            <w:t>29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_Toc19726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rPr>
            <w:t>4</w:t>
          </w:r>
          <w:r>
            <w:rPr>
              <w:rFonts w:hint="eastAsia" w:ascii="微软雅黑" w:hAnsi="微软雅黑" w:eastAsia="微软雅黑" w:cs="Times New Roman"/>
              <w:szCs w:val="32"/>
              <w:highlight w:val="none"/>
              <w:shd w:val="clear" w:color="auto" w:fill="FFFFFF" w:themeFill="background1"/>
              <w:lang w:eastAsia="zh-CN"/>
            </w:rPr>
            <w:t>.</w:t>
          </w:r>
          <w:r>
            <w:rPr>
              <w:rFonts w:hint="eastAsia" w:ascii="微软雅黑" w:hAnsi="微软雅黑" w:eastAsia="微软雅黑" w:cs="Times New Roman"/>
              <w:szCs w:val="32"/>
              <w:highlight w:val="none"/>
              <w:shd w:val="clear" w:color="auto" w:fill="FFFFFF" w:themeFill="background1"/>
            </w:rPr>
            <w:t>评标标准</w:t>
          </w:r>
          <w:r>
            <w:tab/>
          </w:r>
          <w:r>
            <w:fldChar w:fldCharType="begin"/>
          </w:r>
          <w:r>
            <w:instrText xml:space="preserve"> PAGEREF _Toc19726 \h </w:instrText>
          </w:r>
          <w:r>
            <w:fldChar w:fldCharType="separate"/>
          </w:r>
          <w:r>
            <w:t>30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_Toc20924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1评标程序</w:t>
          </w:r>
          <w:r>
            <w:tab/>
          </w:r>
          <w:r>
            <w:fldChar w:fldCharType="begin"/>
          </w:r>
          <w:r>
            <w:instrText xml:space="preserve"> PAGEREF _Toc20924 \h </w:instrText>
          </w:r>
          <w:r>
            <w:fldChar w:fldCharType="separate"/>
          </w:r>
          <w:r>
            <w:t>30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_Toc28588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4.1.1初步评审</w:t>
          </w:r>
          <w:r>
            <w:tab/>
          </w:r>
          <w:r>
            <w:fldChar w:fldCharType="begin"/>
          </w:r>
          <w:r>
            <w:instrText xml:space="preserve"> PAGEREF _Toc28588 \h </w:instrText>
          </w:r>
          <w:r>
            <w:fldChar w:fldCharType="separate"/>
          </w:r>
          <w:r>
            <w:t>30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_Toc31201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4.1.2详细评审</w:t>
          </w:r>
          <w:r>
            <w:tab/>
          </w:r>
          <w:r>
            <w:fldChar w:fldCharType="begin"/>
          </w:r>
          <w:r>
            <w:instrText xml:space="preserve"> PAGEREF _Toc31201 \h </w:instrText>
          </w:r>
          <w:r>
            <w:fldChar w:fldCharType="separate"/>
          </w:r>
          <w:r>
            <w:t>32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_Toc14181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4.2评标结果</w:t>
          </w:r>
          <w:r>
            <w:tab/>
          </w:r>
          <w:r>
            <w:fldChar w:fldCharType="begin"/>
          </w:r>
          <w:r>
            <w:instrText xml:space="preserve"> PAGEREF _Toc14181 \h </w:instrText>
          </w:r>
          <w:r>
            <w:fldChar w:fldCharType="separate"/>
          </w:r>
          <w:r>
            <w:t>35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_Toc4576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lang w:val="en-US" w:eastAsia="zh-CN"/>
            </w:rPr>
            <w:t>5.</w:t>
          </w:r>
          <w:r>
            <w:rPr>
              <w:rFonts w:hint="eastAsia" w:ascii="微软雅黑" w:hAnsi="微软雅黑" w:eastAsia="微软雅黑" w:cs="Times New Roman"/>
              <w:szCs w:val="32"/>
              <w:highlight w:val="none"/>
              <w:shd w:val="clear" w:color="auto" w:fill="FFFFFF" w:themeFill="background1"/>
            </w:rPr>
            <w:t>响应要求</w:t>
          </w:r>
          <w:r>
            <w:tab/>
          </w:r>
          <w:r>
            <w:fldChar w:fldCharType="begin"/>
          </w:r>
          <w:r>
            <w:instrText xml:space="preserve"> PAGEREF _Toc4576 \h </w:instrText>
          </w:r>
          <w:r>
            <w:fldChar w:fldCharType="separate"/>
          </w:r>
          <w:r>
            <w:t>36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_Toc4875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5.1工期响应</w:t>
          </w:r>
          <w:r>
            <w:tab/>
          </w:r>
          <w:r>
            <w:fldChar w:fldCharType="begin"/>
          </w:r>
          <w:r>
            <w:instrText xml:space="preserve"> PAGEREF _Toc4875 \h </w:instrText>
          </w:r>
          <w:r>
            <w:fldChar w:fldCharType="separate"/>
          </w:r>
          <w:r>
            <w:t>36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_Toc16551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5.2付款方式</w:t>
          </w:r>
          <w:r>
            <w:tab/>
          </w:r>
          <w:r>
            <w:fldChar w:fldCharType="begin"/>
          </w:r>
          <w:r>
            <w:instrText xml:space="preserve"> PAGEREF _Toc16551 \h </w:instrText>
          </w:r>
          <w:r>
            <w:fldChar w:fldCharType="separate"/>
          </w:r>
          <w:r>
            <w:t>36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_Toc15278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5.3投标函（规范）</w:t>
          </w:r>
          <w:r>
            <w:tab/>
          </w:r>
          <w:r>
            <w:fldChar w:fldCharType="begin"/>
          </w:r>
          <w:r>
            <w:instrText xml:space="preserve"> PAGEREF _Toc15278 \h </w:instrText>
          </w:r>
          <w:r>
            <w:fldChar w:fldCharType="separate"/>
          </w:r>
          <w:r>
            <w:t>37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_Toc14709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5.4承诺书（规范）</w:t>
          </w:r>
          <w:r>
            <w:tab/>
          </w:r>
          <w:r>
            <w:fldChar w:fldCharType="begin"/>
          </w:r>
          <w:r>
            <w:instrText xml:space="preserve"> PAGEREF _Toc14709 \h </w:instrText>
          </w:r>
          <w:r>
            <w:fldChar w:fldCharType="separate"/>
          </w:r>
          <w:r>
            <w:t>38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_Toc17468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5.5投标人企业信息和联络方式一览表（规范）</w:t>
          </w:r>
          <w:r>
            <w:tab/>
          </w:r>
          <w:r>
            <w:fldChar w:fldCharType="begin"/>
          </w:r>
          <w:r>
            <w:instrText xml:space="preserve"> PAGEREF _Toc17468 \h </w:instrText>
          </w:r>
          <w:r>
            <w:fldChar w:fldCharType="separate"/>
          </w:r>
          <w:r>
            <w:t>39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_Toc25990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5.6法定代表人身份证明书（规范）</w:t>
          </w:r>
          <w:r>
            <w:tab/>
          </w:r>
          <w:r>
            <w:fldChar w:fldCharType="begin"/>
          </w:r>
          <w:r>
            <w:instrText xml:space="preserve"> PAGEREF _Toc25990 \h </w:instrText>
          </w:r>
          <w:r>
            <w:fldChar w:fldCharType="separate"/>
          </w:r>
          <w:r>
            <w:t>40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_Toc4858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5.7企业法人及法定代表人授权委托书（规范）</w:t>
          </w:r>
          <w:r>
            <w:tab/>
          </w:r>
          <w:r>
            <w:fldChar w:fldCharType="begin"/>
          </w:r>
          <w:r>
            <w:instrText xml:space="preserve"> PAGEREF _Toc4858 \h </w:instrText>
          </w:r>
          <w:r>
            <w:fldChar w:fldCharType="separate"/>
          </w:r>
          <w:r>
            <w:t>41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_Toc5148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5.8廉政须知回执（规范）</w:t>
          </w:r>
          <w:r>
            <w:tab/>
          </w:r>
          <w:r>
            <w:fldChar w:fldCharType="begin"/>
          </w:r>
          <w:r>
            <w:instrText xml:space="preserve"> PAGEREF _Toc5148 \h </w:instrText>
          </w:r>
          <w:r>
            <w:fldChar w:fldCharType="separate"/>
          </w:r>
          <w:r>
            <w:t>42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_Toc31723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5.9分项价格表（规范）</w:t>
          </w:r>
          <w:r>
            <w:tab/>
          </w:r>
          <w:r>
            <w:fldChar w:fldCharType="begin"/>
          </w:r>
          <w:r>
            <w:instrText xml:space="preserve"> PAGEREF _Toc31723 \h </w:instrText>
          </w:r>
          <w:r>
            <w:fldChar w:fldCharType="separate"/>
          </w:r>
          <w:r>
            <w:t>43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_Toc11212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5.10技术偏离表（规范）</w:t>
          </w:r>
          <w:r>
            <w:tab/>
          </w:r>
          <w:r>
            <w:fldChar w:fldCharType="begin"/>
          </w:r>
          <w:r>
            <w:instrText xml:space="preserve"> PAGEREF _Toc11212 \h </w:instrText>
          </w:r>
          <w:r>
            <w:fldChar w:fldCharType="separate"/>
          </w:r>
          <w:r>
            <w:t>44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_Toc11115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5.11商务偏离表（规范）</w:t>
          </w:r>
          <w:r>
            <w:tab/>
          </w:r>
          <w:r>
            <w:fldChar w:fldCharType="begin"/>
          </w:r>
          <w:r>
            <w:instrText xml:space="preserve"> PAGEREF _Toc11115 \h </w:instrText>
          </w:r>
          <w:r>
            <w:fldChar w:fldCharType="separate"/>
          </w:r>
          <w:r>
            <w:t>45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_Toc28474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5.12 设备配件清单</w:t>
          </w:r>
          <w:r>
            <w:tab/>
          </w:r>
          <w:r>
            <w:fldChar w:fldCharType="begin"/>
          </w:r>
          <w:r>
            <w:instrText xml:space="preserve"> PAGEREF _Toc28474 \h </w:instrText>
          </w:r>
          <w:r>
            <w:fldChar w:fldCharType="separate"/>
          </w:r>
          <w:r>
            <w:t>46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_Toc14502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5.13 设备消耗品清单</w:t>
          </w:r>
          <w:r>
            <w:tab/>
          </w:r>
          <w:r>
            <w:fldChar w:fldCharType="begin"/>
          </w:r>
          <w:r>
            <w:instrText xml:space="preserve"> PAGEREF _Toc14502 \h </w:instrText>
          </w:r>
          <w:r>
            <w:fldChar w:fldCharType="separate"/>
          </w:r>
          <w:r>
            <w:t>47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300" w:lineRule="exact"/>
            <w:ind w:left="0" w:leftChars="0" w:firstLine="0" w:firstLineChars="0"/>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_Toc27388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6.附件</w:t>
          </w:r>
          <w:r>
            <w:tab/>
          </w:r>
          <w:r>
            <w:fldChar w:fldCharType="begin"/>
          </w:r>
          <w:r>
            <w:instrText xml:space="preserve"> PAGEREF _Toc27388 \h </w:instrText>
          </w:r>
          <w:r>
            <w:fldChar w:fldCharType="separate"/>
          </w:r>
          <w:r>
            <w:t>48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6"/>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p>
        <w:p>
          <w:pPr>
            <w:keepNext w:val="0"/>
            <w:keepLines w:val="0"/>
            <w:pageBreakBefore w:val="0"/>
            <w:widowControl w:val="0"/>
            <w:kinsoku/>
            <w:wordWrap/>
            <w:overflowPunct/>
            <w:topLinePunct w:val="0"/>
            <w:autoSpaceDE/>
            <w:autoSpaceDN/>
            <w:bidi w:val="0"/>
            <w:adjustRightInd/>
            <w:snapToGrid/>
            <w:spacing w:line="300" w:lineRule="exact"/>
            <w:textAlignment w:val="auto"/>
            <w:rPr>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fldChar w:fldCharType="end"/>
          </w:r>
        </w:p>
      </w:sdtContent>
    </w:sdt>
    <w:p>
      <w:pPr>
        <w:pStyle w:val="3"/>
        <w:rPr>
          <w:rFonts w:ascii="微软雅黑" w:hAnsi="微软雅黑" w:eastAsia="微软雅黑"/>
          <w:color w:val="auto"/>
          <w:sz w:val="30"/>
          <w:szCs w:val="30"/>
          <w:highlight w:val="none"/>
          <w:shd w:val="clear" w:color="auto" w:fill="FFFFFF" w:themeFill="background1"/>
        </w:rPr>
      </w:pPr>
      <w:bookmarkStart w:id="0" w:name="_Toc13025"/>
      <w:bookmarkStart w:id="1" w:name="_Toc526784147"/>
      <w:r>
        <w:rPr>
          <w:rFonts w:hint="eastAsia" w:ascii="微软雅黑" w:hAnsi="微软雅黑" w:eastAsia="微软雅黑"/>
          <w:color w:val="auto"/>
          <w:sz w:val="30"/>
          <w:szCs w:val="30"/>
          <w:highlight w:val="none"/>
          <w:shd w:val="clear" w:color="auto" w:fill="FFFFFF" w:themeFill="background1"/>
        </w:rPr>
        <w:t>1.投标</w:t>
      </w:r>
      <w:r>
        <w:rPr>
          <w:rFonts w:ascii="微软雅黑" w:hAnsi="微软雅黑" w:eastAsia="微软雅黑"/>
          <w:color w:val="auto"/>
          <w:sz w:val="30"/>
          <w:szCs w:val="30"/>
          <w:highlight w:val="none"/>
          <w:shd w:val="clear" w:color="auto" w:fill="FFFFFF" w:themeFill="background1"/>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auto"/>
          <w:kern w:val="0"/>
          <w:sz w:val="32"/>
          <w:szCs w:val="32"/>
          <w:highlight w:val="none"/>
          <w:shd w:val="clear" w:color="auto" w:fill="FFFFFF" w:themeFill="background1"/>
        </w:rPr>
      </w:pPr>
      <w:r>
        <w:rPr>
          <w:rFonts w:hint="eastAsia" w:ascii="微软雅黑" w:hAnsi="微软雅黑" w:eastAsia="微软雅黑"/>
          <w:b/>
          <w:iCs/>
          <w:color w:val="auto"/>
          <w:kern w:val="0"/>
          <w:sz w:val="32"/>
          <w:szCs w:val="32"/>
          <w:highlight w:val="none"/>
          <w:shd w:val="clear" w:color="auto" w:fill="FFFFFF" w:themeFill="background1"/>
        </w:rPr>
        <w:t>投标</w:t>
      </w:r>
      <w:r>
        <w:rPr>
          <w:rFonts w:ascii="微软雅黑" w:hAnsi="微软雅黑" w:eastAsia="微软雅黑"/>
          <w:b/>
          <w:iCs/>
          <w:color w:val="auto"/>
          <w:kern w:val="0"/>
          <w:sz w:val="32"/>
          <w:szCs w:val="32"/>
          <w:highlight w:val="none"/>
          <w:shd w:val="clear" w:color="auto" w:fill="FFFFFF" w:themeFill="background1"/>
        </w:rPr>
        <w:t>邀请函</w:t>
      </w:r>
    </w:p>
    <w:p>
      <w:pPr>
        <w:tabs>
          <w:tab w:val="left" w:pos="1500"/>
        </w:tabs>
        <w:adjustRightInd w:val="0"/>
        <w:snapToGrid w:val="0"/>
        <w:spacing w:after="240" w:line="276" w:lineRule="auto"/>
        <w:rPr>
          <w:rFonts w:ascii="微软雅黑" w:hAnsi="微软雅黑" w:eastAsia="微软雅黑"/>
          <w:iCs/>
          <w:color w:val="auto"/>
          <w:kern w:val="0"/>
          <w:szCs w:val="21"/>
          <w:highlight w:val="none"/>
          <w:shd w:val="clear" w:color="auto" w:fill="FFFFFF" w:themeFill="background1"/>
        </w:rPr>
      </w:pPr>
      <w:r>
        <w:rPr>
          <w:rFonts w:hint="eastAsia" w:ascii="微软雅黑" w:hAnsi="微软雅黑" w:eastAsia="微软雅黑"/>
          <w:iCs/>
          <w:color w:val="auto"/>
          <w:kern w:val="0"/>
          <w:szCs w:val="21"/>
          <w:highlight w:val="none"/>
          <w:shd w:val="clear" w:color="auto" w:fill="FFFFFF" w:themeFill="background1"/>
        </w:rPr>
        <w:t>致 ：</w:t>
      </w:r>
    </w:p>
    <w:p>
      <w:pPr>
        <w:widowControl/>
        <w:spacing w:line="500" w:lineRule="exact"/>
        <w:ind w:firstLine="420" w:firstLineChars="20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auto"/>
          <w:szCs w:val="21"/>
          <w:highlight w:val="none"/>
          <w:shd w:val="clear" w:color="auto" w:fill="FFFFFF" w:themeFill="background1"/>
        </w:rPr>
        <w:t>018</w:t>
      </w:r>
      <w:r>
        <w:rPr>
          <w:rFonts w:hint="eastAsia" w:ascii="微软雅黑" w:hAnsi="微软雅黑" w:eastAsia="微软雅黑"/>
          <w:color w:val="auto"/>
          <w:szCs w:val="21"/>
          <w:highlight w:val="none"/>
          <w:shd w:val="clear" w:color="auto" w:fill="FFFFFF" w:themeFill="background1"/>
        </w:rPr>
        <w:t>年在石家庄经济技术开发区建设现代化高科技物流产业园。</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根据北国物流园二期业务发展需要，对库区运</w:t>
      </w:r>
      <w:r>
        <w:rPr>
          <w:rFonts w:hint="eastAsia" w:ascii="微软雅黑" w:hAnsi="微软雅黑" w:eastAsia="微软雅黑" w:cs="Times New Roman"/>
          <w:color w:val="auto"/>
          <w:szCs w:val="21"/>
          <w:highlight w:val="none"/>
          <w:shd w:val="clear" w:color="auto" w:fill="FFFFFF" w:themeFill="background1"/>
        </w:rPr>
        <w:t>营所需</w:t>
      </w:r>
      <w:r>
        <w:rPr>
          <w:rFonts w:hint="eastAsia" w:ascii="微软雅黑" w:hAnsi="微软雅黑" w:eastAsia="微软雅黑" w:cs="Times New Roman"/>
          <w:color w:val="auto"/>
          <w:szCs w:val="21"/>
          <w:highlight w:val="none"/>
          <w:shd w:val="clear" w:color="auto" w:fill="FFFFFF" w:themeFill="background1"/>
          <w:lang w:val="en-US" w:eastAsia="zh-CN"/>
        </w:rPr>
        <w:t>不锈钢</w:t>
      </w:r>
      <w:r>
        <w:rPr>
          <w:rFonts w:hint="eastAsia" w:ascii="微软雅黑" w:hAnsi="微软雅黑" w:eastAsia="微软雅黑" w:cs="Times New Roman"/>
          <w:color w:val="auto"/>
          <w:szCs w:val="21"/>
          <w:highlight w:val="none"/>
          <w:shd w:val="clear" w:color="auto" w:fill="FFFFFF" w:themeFill="background1"/>
        </w:rPr>
        <w:t>设备</w:t>
      </w:r>
      <w:r>
        <w:rPr>
          <w:rFonts w:hint="eastAsia" w:ascii="微软雅黑" w:hAnsi="微软雅黑" w:eastAsia="微软雅黑" w:cs="Times New Roman"/>
          <w:color w:val="auto"/>
          <w:szCs w:val="21"/>
          <w:highlight w:val="none"/>
          <w:shd w:val="clear" w:color="auto" w:fill="FFFFFF" w:themeFill="background1"/>
          <w:lang w:eastAsia="zh-CN"/>
        </w:rPr>
        <w:t>及相关服务</w:t>
      </w:r>
      <w:r>
        <w:rPr>
          <w:rFonts w:hint="eastAsia" w:ascii="微软雅黑" w:hAnsi="微软雅黑" w:eastAsia="微软雅黑" w:cs="Times New Roman"/>
          <w:color w:val="auto"/>
          <w:szCs w:val="21"/>
          <w:highlight w:val="none"/>
          <w:shd w:val="clear" w:color="auto" w:fill="FFFFFF" w:themeFill="background1"/>
        </w:rPr>
        <w:t>进行招标，项目范围包括：</w:t>
      </w:r>
      <w:r>
        <w:rPr>
          <w:rFonts w:hint="eastAsia" w:ascii="微软雅黑" w:hAnsi="微软雅黑" w:eastAsia="微软雅黑" w:cs="Times New Roman"/>
          <w:color w:val="auto"/>
          <w:szCs w:val="21"/>
          <w:highlight w:val="none"/>
          <w:shd w:val="clear" w:color="auto" w:fill="FFFFFF" w:themeFill="background1"/>
          <w:lang w:val="en-US" w:eastAsia="zh-CN"/>
        </w:rPr>
        <w:t>不锈钢</w:t>
      </w:r>
      <w:r>
        <w:rPr>
          <w:rFonts w:hint="eastAsia" w:ascii="微软雅黑" w:hAnsi="微软雅黑" w:eastAsia="微软雅黑" w:cs="Times New Roman"/>
          <w:color w:val="auto"/>
          <w:szCs w:val="21"/>
          <w:highlight w:val="none"/>
          <w:shd w:val="clear" w:color="auto" w:fill="FFFFFF" w:themeFill="background1"/>
        </w:rPr>
        <w:t>设备</w:t>
      </w:r>
      <w:r>
        <w:rPr>
          <w:rFonts w:hint="eastAsia" w:ascii="微软雅黑" w:hAnsi="微软雅黑" w:eastAsia="微软雅黑" w:cs="Times New Roman"/>
          <w:color w:val="auto"/>
          <w:szCs w:val="21"/>
          <w:highlight w:val="none"/>
          <w:shd w:val="clear" w:color="auto" w:fill="FFFFFF" w:themeFill="background1"/>
          <w:lang w:eastAsia="zh-CN"/>
        </w:rPr>
        <w:t>的</w:t>
      </w:r>
      <w:r>
        <w:rPr>
          <w:rFonts w:hint="eastAsia" w:ascii="微软雅黑" w:hAnsi="微软雅黑" w:eastAsia="微软雅黑" w:cs="Times New Roman"/>
          <w:color w:val="auto"/>
          <w:szCs w:val="21"/>
          <w:highlight w:val="none"/>
          <w:shd w:val="clear" w:color="auto" w:fill="FFFFFF" w:themeFill="background1"/>
          <w:lang w:val="en-US" w:eastAsia="zh-CN"/>
        </w:rPr>
        <w:t>设计、</w:t>
      </w:r>
      <w:r>
        <w:rPr>
          <w:rFonts w:hint="eastAsia" w:ascii="微软雅黑" w:hAnsi="微软雅黑" w:eastAsia="微软雅黑" w:cs="Times New Roman"/>
          <w:color w:val="auto"/>
          <w:szCs w:val="21"/>
          <w:highlight w:val="none"/>
          <w:shd w:val="clear" w:color="auto" w:fill="FFFFFF" w:themeFill="background1"/>
          <w:lang w:eastAsia="zh-CN"/>
        </w:rPr>
        <w:t>制造、运输、安装、调试、售后服务等，</w:t>
      </w:r>
      <w:r>
        <w:rPr>
          <w:rFonts w:hint="eastAsia" w:ascii="微软雅黑" w:hAnsi="微软雅黑" w:eastAsia="微软雅黑"/>
          <w:color w:val="auto"/>
          <w:szCs w:val="21"/>
          <w:highlight w:val="none"/>
          <w:shd w:val="clear" w:color="auto" w:fill="FFFFFF" w:themeFill="background1"/>
          <w:lang w:eastAsia="zh-CN"/>
        </w:rPr>
        <w:t>即为“交钥匙工程”</w:t>
      </w:r>
      <w:r>
        <w:rPr>
          <w:rFonts w:hint="eastAsia" w:ascii="微软雅黑" w:hAnsi="微软雅黑" w:eastAsia="微软雅黑"/>
          <w:color w:val="auto"/>
          <w:szCs w:val="21"/>
          <w:highlight w:val="none"/>
          <w:shd w:val="clear" w:color="auto" w:fill="FFFFFF" w:themeFill="background1"/>
        </w:rPr>
        <w:t xml:space="preserve">。欢迎能按标书要求提供产品、信誉好并能保证优质售后服务的公司或厂家投标。 </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项目名称：</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w:t>
      </w:r>
      <w:r>
        <w:rPr>
          <w:rFonts w:ascii="微软雅黑" w:hAnsi="微软雅黑" w:eastAsia="微软雅黑"/>
          <w:color w:val="auto"/>
          <w:szCs w:val="21"/>
          <w:highlight w:val="none"/>
          <w:u w:val="single"/>
          <w:shd w:val="clear" w:color="auto" w:fill="FFFFFF" w:themeFill="background1"/>
        </w:rPr>
        <w:t>)</w:t>
      </w:r>
      <w:r>
        <w:rPr>
          <w:rFonts w:hint="eastAsia" w:ascii="微软雅黑" w:hAnsi="微软雅黑" w:eastAsia="微软雅黑"/>
          <w:color w:val="auto"/>
          <w:szCs w:val="21"/>
          <w:highlight w:val="none"/>
          <w:u w:val="single"/>
          <w:shd w:val="clear" w:color="auto" w:fill="FFFFFF" w:themeFill="background1"/>
        </w:rPr>
        <w:t>分公司</w:t>
      </w:r>
      <w:r>
        <w:rPr>
          <w:rFonts w:hint="eastAsia" w:ascii="微软雅黑" w:hAnsi="微软雅黑" w:eastAsia="微软雅黑"/>
          <w:color w:val="auto"/>
          <w:szCs w:val="21"/>
          <w:highlight w:val="none"/>
          <w:u w:val="single"/>
          <w:shd w:val="clear" w:color="auto" w:fill="FFFFFF" w:themeFill="background1"/>
          <w:lang w:val="en-US" w:eastAsia="zh-CN"/>
        </w:rPr>
        <w:t>不锈钢</w:t>
      </w:r>
      <w:r>
        <w:rPr>
          <w:rFonts w:hint="eastAsia" w:ascii="微软雅黑" w:hAnsi="微软雅黑" w:eastAsia="微软雅黑"/>
          <w:color w:val="auto"/>
          <w:szCs w:val="21"/>
          <w:highlight w:val="none"/>
          <w:u w:val="single"/>
          <w:shd w:val="clear" w:color="auto" w:fill="FFFFFF" w:themeFill="background1"/>
        </w:rPr>
        <w:t>设备</w:t>
      </w:r>
      <w:r>
        <w:rPr>
          <w:rFonts w:hint="eastAsia" w:ascii="微软雅黑" w:hAnsi="微软雅黑" w:eastAsia="微软雅黑"/>
          <w:color w:val="auto"/>
          <w:szCs w:val="21"/>
          <w:highlight w:val="none"/>
          <w:u w:val="single"/>
          <w:shd w:val="clear" w:color="auto" w:fill="FFFFFF" w:themeFill="background1"/>
          <w:lang w:eastAsia="zh-CN"/>
        </w:rPr>
        <w:t>及相关服务</w:t>
      </w:r>
      <w:r>
        <w:rPr>
          <w:rFonts w:hint="eastAsia" w:ascii="微软雅黑" w:hAnsi="微软雅黑" w:eastAsia="微软雅黑"/>
          <w:color w:val="auto"/>
          <w:szCs w:val="21"/>
          <w:highlight w:val="none"/>
          <w:u w:val="single"/>
          <w:shd w:val="clear" w:color="auto" w:fill="FFFFFF" w:themeFill="background1"/>
        </w:rPr>
        <w:t>采购</w:t>
      </w:r>
      <w:r>
        <w:rPr>
          <w:rFonts w:ascii="微软雅黑" w:hAnsi="微软雅黑" w:eastAsia="微软雅黑"/>
          <w:color w:val="auto"/>
          <w:szCs w:val="21"/>
          <w:highlight w:val="none"/>
          <w:u w:val="single"/>
          <w:shd w:val="clear" w:color="auto" w:fill="FFFFFF" w:themeFill="background1"/>
        </w:rPr>
        <w:t>项目</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采购内容：</w:t>
      </w:r>
      <w:r>
        <w:rPr>
          <w:rFonts w:hint="eastAsia" w:ascii="微软雅黑" w:hAnsi="微软雅黑" w:eastAsia="微软雅黑"/>
          <w:color w:val="auto"/>
          <w:szCs w:val="21"/>
          <w:highlight w:val="none"/>
          <w:u w:val="single"/>
          <w:shd w:val="clear" w:color="auto" w:fill="FFFFFF" w:themeFill="background1"/>
          <w:lang w:val="en-US" w:eastAsia="zh-CN"/>
        </w:rPr>
        <w:t>不锈钢</w:t>
      </w:r>
      <w:r>
        <w:rPr>
          <w:rFonts w:hint="eastAsia" w:ascii="微软雅黑" w:hAnsi="微软雅黑" w:eastAsia="微软雅黑" w:cs="Times New Roman"/>
          <w:color w:val="auto"/>
          <w:szCs w:val="21"/>
          <w:highlight w:val="none"/>
          <w:u w:val="single"/>
          <w:shd w:val="clear" w:color="auto" w:fill="FFFFFF" w:themeFill="background1"/>
        </w:rPr>
        <w:t>设备及</w:t>
      </w:r>
      <w:r>
        <w:rPr>
          <w:rFonts w:hint="eastAsia" w:ascii="微软雅黑" w:hAnsi="微软雅黑" w:eastAsia="微软雅黑" w:cs="Times New Roman"/>
          <w:color w:val="auto"/>
          <w:szCs w:val="21"/>
          <w:highlight w:val="none"/>
          <w:u w:val="single"/>
          <w:shd w:val="clear" w:color="auto" w:fill="FFFFFF" w:themeFill="background1"/>
          <w:lang w:eastAsia="zh-CN"/>
        </w:rPr>
        <w:t>相关</w:t>
      </w:r>
      <w:r>
        <w:rPr>
          <w:rFonts w:hint="eastAsia" w:ascii="微软雅黑" w:hAnsi="微软雅黑" w:eastAsia="微软雅黑" w:cs="Times New Roman"/>
          <w:color w:val="auto"/>
          <w:szCs w:val="21"/>
          <w:highlight w:val="none"/>
          <w:u w:val="single"/>
          <w:shd w:val="clear" w:color="auto" w:fill="FFFFFF" w:themeFill="background1"/>
        </w:rPr>
        <w:t>服务</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招标文件发标方式：</w:t>
      </w:r>
      <w:r>
        <w:rPr>
          <w:rFonts w:hint="eastAsia" w:ascii="微软雅黑" w:hAnsi="微软雅黑" w:eastAsia="微软雅黑" w:cs="微软雅黑"/>
          <w:color w:val="auto"/>
          <w:kern w:val="0"/>
          <w:szCs w:val="21"/>
          <w:highlight w:val="none"/>
          <w:u w:val="single"/>
          <w:shd w:val="clear" w:color="auto" w:fill="FFFFFF" w:themeFill="background1"/>
        </w:rPr>
        <w:t>北人集团官网“招标公告”内自行下载</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投标保证金缴纳时间：</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日上午12点前</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投标保证金金额: </w:t>
      </w:r>
      <w:r>
        <w:rPr>
          <w:rFonts w:hint="eastAsia" w:ascii="微软雅黑" w:hAnsi="微软雅黑" w:eastAsia="微软雅黑"/>
          <w:color w:val="auto"/>
          <w:szCs w:val="21"/>
          <w:highlight w:val="none"/>
          <w:u w:val="single"/>
          <w:shd w:val="clear" w:color="auto" w:fill="FFFFFF" w:themeFill="background1"/>
          <w:lang w:val="en-US" w:eastAsia="zh-CN"/>
        </w:rPr>
        <w:t xml:space="preserve">  13500</w:t>
      </w:r>
      <w:r>
        <w:rPr>
          <w:rFonts w:hint="eastAsia" w:ascii="微软雅黑" w:hAnsi="微软雅黑" w:eastAsia="微软雅黑"/>
          <w:color w:val="auto"/>
          <w:szCs w:val="21"/>
          <w:highlight w:val="none"/>
          <w:u w:val="single"/>
          <w:shd w:val="clear" w:color="auto" w:fill="FFFFFF" w:themeFill="background1"/>
        </w:rPr>
        <w:t>元（人民币）大写：</w:t>
      </w:r>
      <w:r>
        <w:rPr>
          <w:rFonts w:hint="eastAsia" w:ascii="微软雅黑" w:hAnsi="微软雅黑" w:eastAsia="微软雅黑"/>
          <w:color w:val="auto"/>
          <w:szCs w:val="21"/>
          <w:highlight w:val="none"/>
          <w:u w:val="single"/>
          <w:shd w:val="clear" w:color="auto" w:fill="FFFFFF" w:themeFill="background1"/>
          <w:lang w:val="en-US" w:eastAsia="zh-CN"/>
        </w:rPr>
        <w:t>壹万叁仟伍佰元</w:t>
      </w:r>
      <w:r>
        <w:rPr>
          <w:rFonts w:hint="eastAsia" w:ascii="微软雅黑" w:hAnsi="微软雅黑" w:eastAsia="微软雅黑"/>
          <w:color w:val="auto"/>
          <w:szCs w:val="21"/>
          <w:highlight w:val="none"/>
          <w:u w:val="single"/>
          <w:shd w:val="clear" w:color="auto" w:fill="FFFFFF" w:themeFill="background1"/>
        </w:rPr>
        <w:t>整</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拦标价:</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67.5万元</w:t>
      </w:r>
      <w:r>
        <w:rPr>
          <w:rFonts w:hint="eastAsia" w:ascii="微软雅黑" w:hAnsi="微软雅黑" w:eastAsia="微软雅黑"/>
          <w:color w:val="auto"/>
          <w:szCs w:val="21"/>
          <w:highlight w:val="none"/>
          <w:u w:val="single"/>
          <w:shd w:val="clear" w:color="auto" w:fill="FFFFFF" w:themeFill="background1"/>
        </w:rPr>
        <w:t>（人民币）大写：</w:t>
      </w:r>
      <w:r>
        <w:rPr>
          <w:rFonts w:hint="eastAsia" w:ascii="微软雅黑" w:hAnsi="微软雅黑" w:eastAsia="微软雅黑"/>
          <w:color w:val="auto"/>
          <w:szCs w:val="21"/>
          <w:highlight w:val="none"/>
          <w:u w:val="single"/>
          <w:shd w:val="clear" w:color="auto" w:fill="FFFFFF" w:themeFill="background1"/>
          <w:lang w:val="en-US" w:eastAsia="zh-CN"/>
        </w:rPr>
        <w:t>陆拾柒万伍仟</w:t>
      </w:r>
      <w:r>
        <w:rPr>
          <w:rFonts w:hint="eastAsia" w:ascii="微软雅黑" w:hAnsi="微软雅黑" w:eastAsia="微软雅黑"/>
          <w:color w:val="auto"/>
          <w:szCs w:val="21"/>
          <w:highlight w:val="none"/>
          <w:u w:val="single"/>
          <w:shd w:val="clear" w:color="auto" w:fill="FFFFFF" w:themeFill="background1"/>
        </w:rPr>
        <w:t>元整。投标价超过拦标价按照废标处理</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银行户名:</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银行账号：</w:t>
      </w:r>
      <w:r>
        <w:rPr>
          <w:rFonts w:ascii="微软雅黑" w:hAnsi="微软雅黑" w:eastAsia="微软雅黑"/>
          <w:color w:val="auto"/>
          <w:szCs w:val="21"/>
          <w:highlight w:val="none"/>
          <w:u w:val="single"/>
          <w:shd w:val="clear" w:color="auto" w:fill="FFFFFF" w:themeFill="background1"/>
        </w:rPr>
        <w:t>0402 0204 0930 0207 535</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开户行：</w:t>
      </w:r>
      <w:r>
        <w:rPr>
          <w:rFonts w:hint="eastAsia" w:ascii="微软雅黑" w:hAnsi="微软雅黑" w:eastAsia="微软雅黑"/>
          <w:color w:val="auto"/>
          <w:szCs w:val="21"/>
          <w:highlight w:val="none"/>
          <w:u w:val="single"/>
          <w:shd w:val="clear" w:color="auto" w:fill="FFFFFF" w:themeFill="background1"/>
        </w:rPr>
        <w:t>中国工商银行石家庄长安支行</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本次招</w:t>
      </w:r>
      <w:r>
        <w:rPr>
          <w:rFonts w:hint="eastAsia" w:ascii="微软雅黑" w:hAnsi="微软雅黑" w:eastAsia="微软雅黑"/>
          <w:color w:val="auto"/>
          <w:szCs w:val="21"/>
          <w:highlight w:val="none"/>
          <w:shd w:val="clear" w:color="auto" w:fill="FFFFFF" w:themeFill="background1"/>
          <w:lang w:eastAsia="zh-CN"/>
        </w:rPr>
        <w:t>标</w:t>
      </w:r>
      <w:r>
        <w:rPr>
          <w:rFonts w:hint="eastAsia" w:ascii="微软雅黑" w:hAnsi="微软雅黑" w:eastAsia="微软雅黑"/>
          <w:color w:val="auto"/>
          <w:szCs w:val="21"/>
          <w:highlight w:val="none"/>
          <w:shd w:val="clear" w:color="auto" w:fill="FFFFFF" w:themeFill="background1"/>
        </w:rPr>
        <w:t>接收投标文件的地点为：</w:t>
      </w:r>
      <w:r>
        <w:rPr>
          <w:rFonts w:hint="eastAsia" w:ascii="微软雅黑" w:hAnsi="微软雅黑" w:eastAsia="微软雅黑"/>
          <w:color w:val="auto"/>
          <w:szCs w:val="21"/>
          <w:highlight w:val="none"/>
          <w:u w:val="single"/>
          <w:shd w:val="clear" w:color="auto" w:fill="FFFFFF" w:themeFill="background1"/>
        </w:rPr>
        <w:t xml:space="preserve"> 石家庄中山东路188号北国商城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开标时间</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lang w:val="en-US" w:eastAsia="zh-CN"/>
        </w:rPr>
        <w:t>截标三日内</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标书提交方式</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rPr>
        <w:t>厂家密封送达投标地点</w:t>
      </w:r>
    </w:p>
    <w:p>
      <w:pPr>
        <w:ind w:firstLine="40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高  辰    </w:t>
      </w:r>
      <w:r>
        <w:rPr>
          <w:rFonts w:hint="eastAsia" w:ascii="微软雅黑" w:hAnsi="微软雅黑" w:eastAsia="微软雅黑"/>
          <w:color w:val="auto"/>
          <w:szCs w:val="21"/>
          <w:highlight w:val="none"/>
          <w:shd w:val="clear" w:color="auto" w:fill="FFFFFF" w:themeFill="background1"/>
        </w:rPr>
        <w:t xml:space="preserve">  </w:t>
      </w:r>
    </w:p>
    <w:p>
      <w:pPr>
        <w:ind w:firstLine="405"/>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联系人员：</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eastAsia="zh-CN"/>
        </w:rPr>
        <w:t>蔡佳宁</w:t>
      </w:r>
      <w:r>
        <w:rPr>
          <w:rFonts w:hint="eastAsia" w:ascii="微软雅黑" w:hAnsi="微软雅黑" w:eastAsia="微软雅黑"/>
          <w:color w:val="auto"/>
          <w:szCs w:val="21"/>
          <w:highlight w:val="none"/>
          <w:u w:val="single"/>
          <w:shd w:val="clear" w:color="auto" w:fill="FFFFFF" w:themeFill="background1"/>
        </w:rPr>
        <w:t xml:space="preserve">   </w:t>
      </w:r>
    </w:p>
    <w:p>
      <w:pPr>
        <w:ind w:firstLine="405"/>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03118</w:t>
      </w:r>
      <w:r>
        <w:rPr>
          <w:rFonts w:hint="eastAsia" w:ascii="微软雅黑" w:hAnsi="微软雅黑" w:eastAsia="微软雅黑"/>
          <w:color w:val="auto"/>
          <w:szCs w:val="21"/>
          <w:highlight w:val="none"/>
          <w:u w:val="single"/>
          <w:shd w:val="clear" w:color="auto" w:fill="FFFFFF" w:themeFill="background1"/>
          <w:lang w:val="en-US" w:eastAsia="zh-CN"/>
        </w:rPr>
        <w:t>-</w:t>
      </w:r>
      <w:r>
        <w:rPr>
          <w:rFonts w:hint="eastAsia" w:ascii="微软雅黑" w:hAnsi="微软雅黑" w:eastAsia="微软雅黑"/>
          <w:color w:val="auto"/>
          <w:szCs w:val="21"/>
          <w:highlight w:val="none"/>
          <w:u w:val="single"/>
          <w:shd w:val="clear" w:color="auto" w:fill="FFFFFF" w:themeFill="background1"/>
        </w:rPr>
        <w:t>9937971</w:t>
      </w:r>
    </w:p>
    <w:p>
      <w:pPr>
        <w:ind w:firstLine="405"/>
        <w:rPr>
          <w:color w:val="auto"/>
          <w:highlight w:val="none"/>
          <w:shd w:val="clear" w:color="auto" w:fill="FFFFFF" w:themeFill="background1"/>
        </w:rPr>
      </w:pP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请满足技术要求的各厂家自行下载标书，并缴纳投标保证金。</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顺颂商祺！</w:t>
      </w:r>
    </w:p>
    <w:p>
      <w:pPr>
        <w:rPr>
          <w:rFonts w:hint="eastAsia" w:eastAsia="微软雅黑"/>
          <w:color w:val="auto"/>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（投标单位确认盖章</w:t>
      </w:r>
      <w:r>
        <w:rPr>
          <w:rFonts w:hint="eastAsia" w:ascii="微软雅黑" w:hAnsi="微软雅黑" w:eastAsia="微软雅黑"/>
          <w:color w:val="auto"/>
          <w:szCs w:val="21"/>
          <w:highlight w:val="none"/>
          <w:shd w:val="clear" w:color="auto" w:fill="FFFFFF" w:themeFill="background1"/>
          <w:lang w:eastAsia="zh-CN"/>
        </w:rPr>
        <w:t>）</w:t>
      </w:r>
    </w:p>
    <w:p>
      <w:pPr>
        <w:pStyle w:val="3"/>
        <w:rPr>
          <w:rFonts w:hint="eastAsia" w:ascii="微软雅黑" w:hAnsi="微软雅黑" w:eastAsia="微软雅黑"/>
          <w:color w:val="auto"/>
          <w:sz w:val="30"/>
          <w:szCs w:val="30"/>
          <w:highlight w:val="none"/>
          <w:shd w:val="clear" w:color="auto" w:fill="FFFFFF" w:themeFill="background1"/>
        </w:rPr>
      </w:pPr>
      <w:bookmarkStart w:id="2" w:name="_Toc526784148"/>
    </w:p>
    <w:p>
      <w:pPr>
        <w:pStyle w:val="3"/>
        <w:rPr>
          <w:rFonts w:hint="eastAsia" w:ascii="微软雅黑" w:hAnsi="微软雅黑" w:eastAsia="微软雅黑"/>
          <w:color w:val="auto"/>
          <w:sz w:val="30"/>
          <w:szCs w:val="30"/>
          <w:highlight w:val="none"/>
          <w:shd w:val="clear" w:color="auto" w:fill="FFFFFF" w:themeFill="background1"/>
        </w:rPr>
      </w:pPr>
    </w:p>
    <w:p>
      <w:pPr>
        <w:pStyle w:val="3"/>
        <w:rPr>
          <w:rFonts w:hint="eastAsia" w:ascii="微软雅黑" w:hAnsi="微软雅黑" w:eastAsia="微软雅黑"/>
          <w:color w:val="auto"/>
          <w:sz w:val="30"/>
          <w:szCs w:val="30"/>
          <w:highlight w:val="none"/>
          <w:shd w:val="clear" w:color="auto" w:fill="FFFFFF" w:themeFill="background1"/>
          <w:lang w:eastAsia="zh-CN"/>
        </w:rPr>
      </w:pPr>
    </w:p>
    <w:p>
      <w:pPr>
        <w:rPr>
          <w:rFonts w:hint="eastAsia" w:ascii="微软雅黑" w:hAnsi="微软雅黑" w:eastAsia="微软雅黑"/>
          <w:color w:val="auto"/>
          <w:sz w:val="30"/>
          <w:szCs w:val="30"/>
          <w:highlight w:val="none"/>
          <w:shd w:val="clear" w:color="auto" w:fill="FFFFFF" w:themeFill="background1"/>
          <w:lang w:eastAsia="zh-CN"/>
        </w:rPr>
      </w:pPr>
    </w:p>
    <w:p>
      <w:pPr>
        <w:pStyle w:val="2"/>
        <w:rPr>
          <w:rFonts w:hint="eastAsia"/>
          <w:lang w:eastAsia="zh-CN"/>
        </w:rPr>
      </w:pPr>
    </w:p>
    <w:p>
      <w:pPr>
        <w:pStyle w:val="3"/>
        <w:rPr>
          <w:rFonts w:ascii="微软雅黑" w:hAnsi="微软雅黑" w:eastAsia="微软雅黑"/>
          <w:color w:val="auto"/>
          <w:sz w:val="30"/>
          <w:szCs w:val="30"/>
          <w:highlight w:val="none"/>
          <w:shd w:val="clear" w:color="auto" w:fill="FFFFFF" w:themeFill="background1"/>
        </w:rPr>
      </w:pPr>
      <w:bookmarkStart w:id="3" w:name="_Toc26967"/>
      <w:r>
        <w:rPr>
          <w:rFonts w:hint="eastAsia" w:ascii="微软雅黑" w:hAnsi="微软雅黑" w:eastAsia="微软雅黑"/>
          <w:color w:val="auto"/>
          <w:sz w:val="30"/>
          <w:szCs w:val="30"/>
          <w:highlight w:val="none"/>
          <w:shd w:val="clear" w:color="auto" w:fill="FFFFFF" w:themeFill="background1"/>
        </w:rPr>
        <w:t>2.投标须知</w:t>
      </w:r>
      <w:bookmarkEnd w:id="2"/>
      <w:bookmarkEnd w:id="3"/>
      <w:bookmarkStart w:id="4" w:name="_Toc376179250"/>
      <w:bookmarkEnd w:id="4"/>
      <w:bookmarkStart w:id="5" w:name="_Toc376181963"/>
      <w:bookmarkEnd w:id="5"/>
      <w:bookmarkStart w:id="6" w:name="_Toc376185074"/>
      <w:bookmarkEnd w:id="6"/>
      <w:bookmarkStart w:id="7" w:name="_Toc376179522"/>
      <w:bookmarkEnd w:id="7"/>
      <w:bookmarkStart w:id="8" w:name="_Toc376179362"/>
      <w:bookmarkEnd w:id="8"/>
      <w:bookmarkStart w:id="9" w:name="_Toc376185075"/>
      <w:bookmarkEnd w:id="9"/>
      <w:bookmarkStart w:id="10" w:name="_Toc376179409"/>
      <w:bookmarkEnd w:id="10"/>
      <w:bookmarkStart w:id="11" w:name="_Toc376179042"/>
      <w:bookmarkEnd w:id="11"/>
      <w:bookmarkStart w:id="12" w:name="_Toc516486638"/>
      <w:bookmarkStart w:id="13" w:name="_Toc374627167"/>
    </w:p>
    <w:p>
      <w:pPr>
        <w:pStyle w:val="4"/>
        <w:rPr>
          <w:rFonts w:ascii="微软雅黑" w:hAnsi="微软雅黑" w:eastAsia="微软雅黑"/>
          <w:color w:val="auto"/>
          <w:sz w:val="28"/>
          <w:szCs w:val="28"/>
          <w:highlight w:val="none"/>
          <w:shd w:val="clear" w:color="auto" w:fill="FFFFFF" w:themeFill="background1"/>
        </w:rPr>
      </w:pPr>
      <w:bookmarkStart w:id="14" w:name="_Toc526784149"/>
      <w:bookmarkStart w:id="15" w:name="_Toc24947"/>
      <w:r>
        <w:rPr>
          <w:rFonts w:hint="eastAsia" w:ascii="微软雅黑" w:hAnsi="微软雅黑" w:eastAsia="微软雅黑"/>
          <w:color w:val="auto"/>
          <w:sz w:val="28"/>
          <w:szCs w:val="28"/>
          <w:highlight w:val="none"/>
          <w:shd w:val="clear" w:color="auto" w:fill="FFFFFF" w:themeFill="background1"/>
        </w:rPr>
        <w:t>2.1概述</w:t>
      </w:r>
      <w:bookmarkEnd w:id="12"/>
      <w:bookmarkEnd w:id="13"/>
      <w:bookmarkEnd w:id="14"/>
      <w:bookmarkEnd w:id="15"/>
    </w:p>
    <w:p>
      <w:pPr>
        <w:pStyle w:val="29"/>
        <w:widowControl/>
        <w:numPr>
          <w:ilvl w:val="0"/>
          <w:numId w:val="2"/>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招标范围：本次招标活动系针对</w:t>
      </w:r>
      <w:r>
        <w:rPr>
          <w:rFonts w:hint="eastAsia" w:ascii="微软雅黑" w:hAnsi="微软雅黑" w:eastAsia="微软雅黑"/>
          <w:color w:val="auto"/>
          <w:szCs w:val="21"/>
          <w:highlight w:val="none"/>
          <w:shd w:val="clear" w:color="auto" w:fill="FFFFFF" w:themeFill="background1"/>
          <w:lang w:eastAsia="zh-CN"/>
        </w:rPr>
        <w:t>北国物流园</w:t>
      </w:r>
      <w:r>
        <w:rPr>
          <w:rFonts w:hint="eastAsia" w:ascii="微软雅黑" w:hAnsi="微软雅黑" w:eastAsia="微软雅黑"/>
          <w:color w:val="auto"/>
          <w:szCs w:val="21"/>
          <w:highlight w:val="none"/>
          <w:shd w:val="clear" w:color="auto" w:fill="FFFFFF" w:themeFill="background1"/>
          <w:lang w:val="en-US" w:eastAsia="zh-CN"/>
        </w:rPr>
        <w:t>二期中央厨房不锈钢</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采购项目而举行，</w:t>
      </w:r>
      <w:r>
        <w:rPr>
          <w:rFonts w:hint="eastAsia" w:ascii="微软雅黑" w:hAnsi="微软雅黑" w:eastAsia="微软雅黑"/>
          <w:color w:val="auto"/>
          <w:szCs w:val="21"/>
          <w:highlight w:val="none"/>
          <w:shd w:val="clear" w:color="auto" w:fill="FFFFFF" w:themeFill="background1"/>
          <w:lang w:val="en-US" w:eastAsia="zh-CN"/>
        </w:rPr>
        <w:t>项目范围包括：不锈钢设备的设计、制造、运输、安装、调试、售后服务等，即为“交钥匙工程”。</w:t>
      </w:r>
      <w:r>
        <w:rPr>
          <w:rFonts w:hint="eastAsia" w:ascii="微软雅黑" w:hAnsi="微软雅黑" w:eastAsia="微软雅黑"/>
          <w:color w:val="auto"/>
          <w:szCs w:val="21"/>
          <w:highlight w:val="none"/>
          <w:shd w:val="clear" w:color="auto" w:fill="FFFFFF" w:themeFill="background1"/>
        </w:rPr>
        <w:t>不针对单个特定项目，投标人对此应予以综合考量。在本次招标活动中，投标人一旦中标，其自报的中标价及承诺等均适用于本次采购项目，投标人在投标文件中须对此做出响应，否则将被视作废标。</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投标有效期：项目实施全过程。</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无论投标的结果如何，投标人自行承担因参加投标发生的全部费用及风险。</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招标活动安排：投标的单位必须严格按照招标文件规定的日程安排和规则准时参加招标活动。</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递交书面疑问截止时间：</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u w:val="single"/>
          <w:shd w:val="clear" w:color="auto" w:fill="FFFFFF" w:themeFill="background1"/>
          <w:lang w:val="en-US" w:eastAsia="zh-CN"/>
        </w:rPr>
        <w:t>23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1</w:t>
      </w:r>
      <w:r>
        <w:rPr>
          <w:rFonts w:hint="eastAsia" w:ascii="微软雅黑" w:hAnsi="微软雅黑" w:eastAsia="微软雅黑"/>
          <w:color w:val="auto"/>
          <w:szCs w:val="21"/>
          <w:highlight w:val="none"/>
          <w:shd w:val="clear" w:color="auto" w:fill="FFFFFF" w:themeFill="background1"/>
        </w:rPr>
        <w:t>日上午12点之前。</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投标截止日期:</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日</w:t>
      </w:r>
      <w:r>
        <w:rPr>
          <w:rFonts w:hint="eastAsia" w:ascii="微软雅黑" w:hAnsi="微软雅黑" w:eastAsia="微软雅黑"/>
          <w:color w:val="auto"/>
          <w:szCs w:val="21"/>
          <w:highlight w:val="none"/>
          <w:shd w:val="clear" w:color="auto" w:fill="FFFFFF" w:themeFill="background1"/>
          <w:lang w:val="en-US" w:eastAsia="zh-CN"/>
        </w:rPr>
        <w:t>18</w:t>
      </w:r>
      <w:r>
        <w:rPr>
          <w:rFonts w:hint="eastAsia" w:ascii="微软雅黑" w:hAnsi="微软雅黑" w:eastAsia="微软雅黑"/>
          <w:color w:val="auto"/>
          <w:szCs w:val="21"/>
          <w:highlight w:val="none"/>
          <w:shd w:val="clear" w:color="auto" w:fill="FFFFFF" w:themeFill="background1"/>
        </w:rPr>
        <w:t>点</w:t>
      </w:r>
      <w:bookmarkStart w:id="173" w:name="_GoBack"/>
      <w:bookmarkEnd w:id="173"/>
      <w:r>
        <w:rPr>
          <w:rFonts w:hint="eastAsia" w:ascii="微软雅黑" w:hAnsi="微软雅黑" w:eastAsia="微软雅黑"/>
          <w:color w:val="auto"/>
          <w:szCs w:val="21"/>
          <w:highlight w:val="none"/>
          <w:shd w:val="clear" w:color="auto" w:fill="FFFFFF" w:themeFill="background1"/>
        </w:rPr>
        <w:t>之前，将投标文件提交北国商城</w:t>
      </w:r>
      <w:r>
        <w:rPr>
          <w:rFonts w:hint="eastAsia" w:ascii="微软雅黑" w:hAnsi="微软雅黑" w:eastAsia="微软雅黑"/>
          <w:color w:val="auto"/>
          <w:szCs w:val="21"/>
          <w:highlight w:val="none"/>
          <w:shd w:val="clear" w:color="auto" w:fill="FFFFFF" w:themeFill="background1"/>
          <w:lang w:val="en-US" w:eastAsia="zh-CN"/>
        </w:rPr>
        <w:t>9</w:t>
      </w:r>
      <w:r>
        <w:rPr>
          <w:rFonts w:hint="eastAsia" w:ascii="微软雅黑" w:hAnsi="微软雅黑" w:eastAsia="微软雅黑"/>
          <w:color w:val="auto"/>
          <w:szCs w:val="21"/>
          <w:highlight w:val="none"/>
          <w:shd w:val="clear" w:color="auto" w:fill="FFFFFF" w:themeFill="background1"/>
        </w:rPr>
        <w:t>楼</w:t>
      </w:r>
      <w:r>
        <w:rPr>
          <w:rFonts w:hint="eastAsia" w:ascii="微软雅黑" w:hAnsi="微软雅黑" w:eastAsia="微软雅黑"/>
          <w:color w:val="auto"/>
          <w:szCs w:val="21"/>
          <w:highlight w:val="none"/>
          <w:shd w:val="clear" w:color="auto" w:fill="FFFFFF" w:themeFill="background1"/>
          <w:lang w:val="en-US" w:eastAsia="zh-CN"/>
        </w:rPr>
        <w:t>911</w:t>
      </w:r>
      <w:r>
        <w:rPr>
          <w:rFonts w:hint="eastAsia" w:ascii="微软雅黑" w:hAnsi="微软雅黑" w:eastAsia="微软雅黑"/>
          <w:color w:val="auto"/>
          <w:szCs w:val="21"/>
          <w:highlight w:val="none"/>
          <w:shd w:val="clear" w:color="auto" w:fill="FFFFFF" w:themeFill="background1"/>
        </w:rPr>
        <w:t>室。</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bookmarkEnd w:id="16"/>
    <w:p>
      <w:pPr>
        <w:pStyle w:val="4"/>
        <w:rPr>
          <w:rFonts w:hint="eastAsia" w:ascii="微软雅黑" w:hAnsi="微软雅黑" w:eastAsia="微软雅黑"/>
          <w:color w:val="auto"/>
          <w:sz w:val="28"/>
          <w:szCs w:val="28"/>
          <w:highlight w:val="none"/>
          <w:shd w:val="clear" w:color="auto" w:fill="FFFFFF" w:themeFill="background1"/>
        </w:rPr>
      </w:pPr>
      <w:bookmarkStart w:id="17" w:name="_Toc526784150"/>
      <w:bookmarkStart w:id="18" w:name="_Toc14306"/>
      <w:bookmarkStart w:id="19" w:name="_Toc526784151"/>
      <w:bookmarkStart w:id="20" w:name="_Toc516486640"/>
      <w:bookmarkStart w:id="21" w:name="_Toc18693"/>
      <w:r>
        <w:rPr>
          <w:rFonts w:hint="eastAsia" w:ascii="微软雅黑" w:hAnsi="微软雅黑" w:eastAsia="微软雅黑"/>
          <w:color w:val="auto"/>
          <w:sz w:val="28"/>
          <w:szCs w:val="28"/>
          <w:highlight w:val="none"/>
          <w:shd w:val="clear" w:color="auto" w:fill="FFFFFF" w:themeFill="background1"/>
        </w:rPr>
        <w:t>2.2投标人资格要求</w:t>
      </w:r>
      <w:bookmarkEnd w:id="17"/>
      <w:bookmarkEnd w:id="18"/>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本次招标要求投标人为不锈钢设备生产商或代理商，单位负责人为同一人或者存在控股、管理关系的不同单位，不得同时参加本项目的投标。不接受联合体投标。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投标人应在中华人民共和国注册具有独立法人资格，持有《企业法人营业执照》；在法律和财务上独立，能够独立承担民事责任，有生产、供应能力的独立法人组织；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财务要求：投标人必须有良好的企业财务状况；</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信誉要求：未被列入国家信息中心“信用中国”网站“失信被执行人”、“企业经营异常名录”、“重大税收违法案件当事人名单”和“政府采购严重违法失信名单”（查询时间为本项目发布招标公告之日至本项目投标截止时间之日）。</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其他要求：与招标人存在利害关系可能影响招标公正性的单位，不得参加投标。单位负责人为同一人或者存在控股、管理关系的不同单位，不得同时参加同一标段投标，否则相关投标均无效（以国家企业信用信息公示系统http://www.gsxt.gov.cn/index.html及相关系统查询结果为准）；</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经销商投标需提供生产商针对此项目的唯一授权委托书；生产商投标的，不再接受代理商投标。</w:t>
      </w:r>
    </w:p>
    <w:p>
      <w:pPr>
        <w:pStyle w:val="4"/>
        <w:rPr>
          <w:rFonts w:ascii="微软雅黑" w:hAnsi="微软雅黑" w:eastAsia="微软雅黑"/>
          <w:color w:val="auto"/>
          <w:sz w:val="28"/>
          <w:szCs w:val="28"/>
          <w:highlight w:val="none"/>
          <w:shd w:val="clear" w:color="auto" w:fill="FFFFFF" w:themeFill="background1"/>
        </w:rPr>
      </w:pPr>
      <w:r>
        <w:rPr>
          <w:rFonts w:hint="eastAsia" w:ascii="微软雅黑" w:hAnsi="微软雅黑" w:eastAsia="微软雅黑"/>
          <w:color w:val="auto"/>
          <w:sz w:val="28"/>
          <w:szCs w:val="28"/>
          <w:highlight w:val="none"/>
          <w:shd w:val="clear" w:color="auto" w:fill="FFFFFF" w:themeFill="background1"/>
        </w:rPr>
        <w:t>2.3投标文件的组成</w:t>
      </w:r>
      <w:bookmarkEnd w:id="19"/>
      <w:bookmarkEnd w:id="20"/>
      <w:bookmarkEnd w:id="21"/>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投标人所提交的投标文件必须分为商务标及技术标两个部分，需分别装订。投标文件必须包括正本及副本如下：</w:t>
      </w:r>
    </w:p>
    <w:p>
      <w:pPr>
        <w:pStyle w:val="29"/>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商务标：正本一份及副本三份（附投标报价电子版，但以书面文件报价为准）；</w:t>
      </w:r>
    </w:p>
    <w:p>
      <w:pPr>
        <w:pStyle w:val="29"/>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技术标：正本一份及副本三份（不含报价）（附电子版）；</w:t>
      </w:r>
    </w:p>
    <w:p>
      <w:pPr>
        <w:pStyle w:val="29"/>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电子版本须提供word/excel等</w:t>
      </w:r>
      <w:r>
        <w:rPr>
          <w:rFonts w:ascii="微软雅黑" w:hAnsi="微软雅黑" w:eastAsia="微软雅黑"/>
          <w:color w:val="auto"/>
          <w:szCs w:val="21"/>
          <w:highlight w:val="none"/>
          <w:shd w:val="clear" w:color="auto" w:fill="FFFFFF" w:themeFill="background1"/>
        </w:rPr>
        <w:t>其他源</w:t>
      </w:r>
      <w:r>
        <w:rPr>
          <w:rFonts w:hint="eastAsia" w:ascii="微软雅黑" w:hAnsi="微软雅黑" w:eastAsia="微软雅黑"/>
          <w:color w:val="auto"/>
          <w:szCs w:val="21"/>
          <w:highlight w:val="none"/>
          <w:shd w:val="clear" w:color="auto" w:fill="FFFFFF" w:themeFill="background1"/>
        </w:rPr>
        <w:t>格式文件。</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投标文件应打印装订成册，纸张规格为A4，正文为宋体，大小为小四号至三号字，密封于档案袋内，封面注明 “北国物流园</w:t>
      </w:r>
      <w:r>
        <w:rPr>
          <w:rFonts w:hint="eastAsia" w:ascii="微软雅黑" w:hAnsi="微软雅黑" w:eastAsia="微软雅黑"/>
          <w:color w:val="auto"/>
          <w:szCs w:val="21"/>
          <w:highlight w:val="none"/>
          <w:shd w:val="clear" w:color="auto" w:fill="FFFFFF" w:themeFill="background1"/>
          <w:lang w:eastAsia="zh-CN"/>
        </w:rPr>
        <w:t>车间</w:t>
      </w:r>
      <w:r>
        <w:rPr>
          <w:rFonts w:hint="eastAsia" w:ascii="微软雅黑" w:hAnsi="微软雅黑" w:eastAsia="微软雅黑"/>
          <w:color w:val="auto"/>
          <w:szCs w:val="21"/>
          <w:highlight w:val="none"/>
          <w:shd w:val="clear" w:color="auto" w:fill="FFFFFF" w:themeFill="background1"/>
          <w:lang w:val="en-US" w:eastAsia="zh-CN"/>
        </w:rPr>
        <w:t>不锈钢</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及相关服务采购</w:t>
      </w:r>
      <w:r>
        <w:rPr>
          <w:rFonts w:hint="eastAsia" w:ascii="微软雅黑" w:hAnsi="微软雅黑" w:eastAsia="微软雅黑"/>
          <w:color w:val="auto"/>
          <w:szCs w:val="21"/>
          <w:highlight w:val="none"/>
          <w:shd w:val="clear" w:color="auto" w:fill="FFFFFF" w:themeFill="background1"/>
        </w:rPr>
        <w:t>项目投标文件”及单位名称，加盖公章，并根据投标书上注明的回标日期及地址提交。</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投标文件的递交、密封与标志</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投标单位应将所有的投标文件清楚注明“正本”或“副本”，装在同一袋中密封。开标前不得开封。</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投标人需在密封袋上文字注明招标人名称，项目编号，投标人名称，并加盖投标人公章和法定代表人印鉴做骑缝章。</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密封袋上下两端应加贴密封条，确保密封袋开口和底部的严密性。加贴的密封条上下翻折的宽度4公分左右。</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投标文件胶装成册</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投标人提交的投标文件应符合招标文件的规定，投标文件不全的视为废标。</w:t>
      </w:r>
    </w:p>
    <w:p>
      <w:pPr>
        <w:pStyle w:val="4"/>
        <w:rPr>
          <w:rFonts w:ascii="微软雅黑" w:hAnsi="微软雅黑" w:eastAsia="微软雅黑"/>
          <w:color w:val="auto"/>
          <w:sz w:val="28"/>
          <w:szCs w:val="28"/>
          <w:highlight w:val="none"/>
          <w:shd w:val="clear" w:color="auto" w:fill="FFFFFF" w:themeFill="background1"/>
        </w:rPr>
      </w:pPr>
      <w:bookmarkStart w:id="22" w:name="_Toc516486641"/>
      <w:bookmarkStart w:id="23" w:name="_Toc526784152"/>
      <w:bookmarkStart w:id="24" w:name="_Toc8236"/>
      <w:r>
        <w:rPr>
          <w:rFonts w:hint="eastAsia" w:ascii="微软雅黑" w:hAnsi="微软雅黑" w:eastAsia="微软雅黑"/>
          <w:color w:val="auto"/>
          <w:sz w:val="28"/>
          <w:szCs w:val="28"/>
          <w:highlight w:val="none"/>
          <w:shd w:val="clear" w:color="auto" w:fill="FFFFFF" w:themeFill="background1"/>
        </w:rPr>
        <w:t>2.4投标文件的编制</w:t>
      </w:r>
      <w:bookmarkEnd w:id="22"/>
      <w:bookmarkEnd w:id="23"/>
      <w:bookmarkEnd w:id="24"/>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投标人应仔细阅读招标文件的所有内容，严格按招标文件的要求制作并提供投标文件。</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投标人应保证所有提供的资料的真实性、准确性、有效性，并使其投标内容对招标文件的实质性要求做出完全的响应，否则，其投标可能被拒绝，对此招标人不承担任何责任。</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投标人向招标人提供的所有投标文件、信函、说明等资料，在未获得招标人特别要求时，应以中文书写。</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投标人向招标人提供的所有投标文件、信函、说明等资料，在未获得招标人特别要求时，其中的计量单位应采用中华人民共和国法定计量单位。</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投标人向招标人提供的所有投标文件中的任何报价，（包括总价、分项价格）一律采用人民币填报</w:t>
      </w:r>
      <w:r>
        <w:rPr>
          <w:rFonts w:hint="eastAsia" w:ascii="微软雅黑" w:hAnsi="微软雅黑" w:eastAsia="微软雅黑"/>
          <w:color w:val="auto"/>
          <w:szCs w:val="21"/>
          <w:highlight w:val="none"/>
          <w:shd w:val="clear" w:color="auto" w:fill="FFFFFF" w:themeFill="background1"/>
          <w:lang w:eastAsia="zh-CN"/>
        </w:rPr>
        <w:t>，含税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投标报价表上的价格应包括合同条款上所列的各项内容的全部费用，应为履行合同的固定价格，不得以任何理由予以重复。</w:t>
      </w:r>
    </w:p>
    <w:p>
      <w:pPr>
        <w:pStyle w:val="4"/>
        <w:rPr>
          <w:rFonts w:ascii="微软雅黑" w:hAnsi="微软雅黑" w:eastAsia="微软雅黑"/>
          <w:color w:val="auto"/>
          <w:sz w:val="28"/>
          <w:szCs w:val="28"/>
          <w:highlight w:val="none"/>
          <w:shd w:val="clear" w:color="auto" w:fill="FFFFFF" w:themeFill="background1"/>
        </w:rPr>
      </w:pPr>
      <w:bookmarkStart w:id="25" w:name="_Toc516486642"/>
      <w:bookmarkStart w:id="26" w:name="_Toc25463"/>
      <w:bookmarkStart w:id="27" w:name="_Toc526784153"/>
      <w:r>
        <w:rPr>
          <w:rFonts w:hint="eastAsia" w:ascii="微软雅黑" w:hAnsi="微软雅黑" w:eastAsia="微软雅黑"/>
          <w:color w:val="auto"/>
          <w:sz w:val="28"/>
          <w:szCs w:val="28"/>
          <w:highlight w:val="none"/>
          <w:shd w:val="clear" w:color="auto" w:fill="FFFFFF" w:themeFill="background1"/>
        </w:rPr>
        <w:t>2.5投标文件的内容</w:t>
      </w:r>
      <w:bookmarkEnd w:id="25"/>
      <w:bookmarkEnd w:id="26"/>
      <w:bookmarkEnd w:id="27"/>
    </w:p>
    <w:p>
      <w:pPr>
        <w:pStyle w:val="5"/>
        <w:rPr>
          <w:rFonts w:ascii="微软雅黑" w:hAnsi="微软雅黑" w:eastAsia="微软雅黑"/>
          <w:color w:val="auto"/>
          <w:sz w:val="24"/>
          <w:szCs w:val="24"/>
          <w:highlight w:val="none"/>
          <w:shd w:val="clear" w:color="auto" w:fill="FFFFFF" w:themeFill="background1"/>
        </w:rPr>
      </w:pPr>
      <w:bookmarkStart w:id="28" w:name="_Toc20229"/>
      <w:bookmarkStart w:id="29" w:name="_Toc526784154"/>
      <w:r>
        <w:rPr>
          <w:rFonts w:hint="eastAsia" w:ascii="微软雅黑" w:hAnsi="微软雅黑" w:eastAsia="微软雅黑"/>
          <w:color w:val="auto"/>
          <w:sz w:val="24"/>
          <w:szCs w:val="24"/>
          <w:highlight w:val="none"/>
          <w:shd w:val="clear" w:color="auto" w:fill="FFFFFF" w:themeFill="background1"/>
        </w:rPr>
        <w:t>2.5.1商务标的内容</w:t>
      </w:r>
      <w:bookmarkEnd w:id="28"/>
      <w:bookmarkEnd w:id="29"/>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投标函；</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承诺书；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投标人企业信息和联络方式一览表</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法定代表人证明书；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企业法人及法定代表人授权委托书，委托人、被委托人身份证复印件；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投标保证金相关凭证复印件；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廉政须知回执；</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经年检的企业法人营业执照复印件；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投标产品国家相关部门颁发的产品生产许可证；</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投标人的开户银行出具的资信证明；</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开标一览表；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投标分项价格表；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付款方式；</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商务标偏离表；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投标人总部及分支单位联系方式；</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战略合作协议及相关配套合同/协议（范本）</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p>
    <w:p>
      <w:pPr>
        <w:pStyle w:val="5"/>
        <w:rPr>
          <w:rFonts w:ascii="微软雅黑" w:hAnsi="微软雅黑" w:eastAsia="微软雅黑"/>
          <w:color w:val="auto"/>
          <w:sz w:val="24"/>
          <w:szCs w:val="24"/>
          <w:highlight w:val="none"/>
          <w:shd w:val="clear" w:color="auto" w:fill="FFFFFF" w:themeFill="background1"/>
        </w:rPr>
      </w:pPr>
      <w:bookmarkStart w:id="30" w:name="_Toc526784155"/>
      <w:bookmarkStart w:id="31" w:name="_Toc31997"/>
      <w:r>
        <w:rPr>
          <w:rFonts w:hint="eastAsia" w:ascii="微软雅黑" w:hAnsi="微软雅黑" w:eastAsia="微软雅黑"/>
          <w:color w:val="auto"/>
          <w:sz w:val="24"/>
          <w:szCs w:val="24"/>
          <w:highlight w:val="none"/>
          <w:shd w:val="clear" w:color="auto" w:fill="FFFFFF" w:themeFill="background1"/>
        </w:rPr>
        <w:t>2.5.2技术标的内容</w:t>
      </w:r>
      <w:bookmarkEnd w:id="30"/>
      <w:bookmarkEnd w:id="31"/>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bookmarkStart w:id="32" w:name="_Toc516486643"/>
      <w:bookmarkStart w:id="33" w:name="_Toc526784156"/>
      <w:r>
        <w:rPr>
          <w:rFonts w:hint="eastAsia" w:ascii="微软雅黑" w:hAnsi="微软雅黑" w:eastAsia="微软雅黑" w:cs="Times New Roman"/>
          <w:color w:val="auto"/>
          <w:szCs w:val="21"/>
          <w:highlight w:val="none"/>
          <w:shd w:val="clear" w:color="auto" w:fill="FFFFFF" w:themeFill="background1"/>
        </w:rPr>
        <w:t>货物说明</w:t>
      </w:r>
    </w:p>
    <w:p>
      <w:pPr>
        <w:pStyle w:val="29"/>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1）概述：针对招标方提供的需求方案采用的行业标准、主要技术指标等；</w:t>
      </w:r>
    </w:p>
    <w:p>
      <w:pPr>
        <w:pStyle w:val="29"/>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2）设备清单（应与投标分项报价表相一致）；</w:t>
      </w:r>
    </w:p>
    <w:p>
      <w:pPr>
        <w:pStyle w:val="29"/>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3）单元设备说明，设备主要技术性能的详细描述：包括货物名称、结构、功能、技术性能、特点、供货范围、照片、验收执行的标准、质量保证措施、采用的新材料、新工艺、新技术等内容；</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主要技术资料：使用保养说明书等技术资料、各种试验报告和鉴定证书（复印件）、货物获奖证书（复印件）</w:t>
      </w:r>
      <w:r>
        <w:rPr>
          <w:rFonts w:hint="eastAsia" w:ascii="微软雅黑" w:hAnsi="微软雅黑" w:eastAsia="微软雅黑" w:cs="Times New Roman"/>
          <w:color w:val="auto"/>
          <w:szCs w:val="21"/>
          <w:highlight w:val="none"/>
          <w:shd w:val="clear" w:color="auto" w:fill="FFFFFF" w:themeFill="background1"/>
          <w:lang w:eastAsia="zh-CN"/>
        </w:rPr>
        <w:t>等</w:t>
      </w:r>
      <w:r>
        <w:rPr>
          <w:rFonts w:hint="eastAsia" w:ascii="微软雅黑" w:hAnsi="微软雅黑" w:eastAsia="微软雅黑" w:cs="Times New Roman"/>
          <w:color w:val="auto"/>
          <w:szCs w:val="21"/>
          <w:highlight w:val="none"/>
          <w:shd w:val="clear" w:color="auto" w:fill="FFFFFF" w:themeFill="background1"/>
        </w:rPr>
        <w:t>；</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保证交货期的措施（提供交货计划周期表）；</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售前、售后服务内容及时间（请分别列出有偿、无偿服务内容）；</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技术规格中规定的保证货物正常和连续运转期间所需要的所有的备件和专用工具详细的清单，包括其价格和供货来源资料等；</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投标人工期承诺；</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保证承诺书</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售后服务及技术支持；</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技术方案偏离表；</w:t>
      </w:r>
    </w:p>
    <w:p>
      <w:pPr>
        <w:pStyle w:val="29"/>
        <w:widowControl/>
        <w:numPr>
          <w:ilvl w:val="0"/>
          <w:numId w:val="8"/>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p>
    <w:p>
      <w:pPr>
        <w:pStyle w:val="4"/>
        <w:rPr>
          <w:rFonts w:ascii="微软雅黑" w:hAnsi="微软雅黑" w:eastAsia="微软雅黑"/>
          <w:color w:val="auto"/>
          <w:sz w:val="28"/>
          <w:szCs w:val="28"/>
          <w:highlight w:val="none"/>
          <w:shd w:val="clear" w:color="auto" w:fill="FFFFFF" w:themeFill="background1"/>
        </w:rPr>
      </w:pPr>
      <w:bookmarkStart w:id="34" w:name="_Toc11872"/>
      <w:r>
        <w:rPr>
          <w:rFonts w:hint="eastAsia" w:ascii="微软雅黑" w:hAnsi="微软雅黑" w:eastAsia="微软雅黑"/>
          <w:color w:val="auto"/>
          <w:sz w:val="28"/>
          <w:szCs w:val="28"/>
          <w:highlight w:val="none"/>
          <w:shd w:val="clear" w:color="auto" w:fill="FFFFFF" w:themeFill="background1"/>
        </w:rPr>
        <w:t>2.6投标报价</w:t>
      </w:r>
      <w:bookmarkEnd w:id="32"/>
      <w:bookmarkEnd w:id="33"/>
      <w:bookmarkEnd w:id="34"/>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投标报价均应为在招标文件中指定的范围内完成整个项目的费用。</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投标人应填写开标一览表，并填写详细分项报价，如果分项报价与总价有出入，则以低报价为准。</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招标人不接受投标人对任何未办理正常进口手续的非中华人民共和国境内生产的产品和服务的投标报价。</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对于厂家或投标人免费提供的项目，投标人要先填写该项目的实际价格，再在旁边注明免费。此项不计入总价或合计价。</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单价允许提供折扣优惠。但必须在报价表中表达清楚，必要时应加以说明。</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在每个分项报价中，投标人应详细列出各设备序号、名称、品牌、数量、单价及总价等；</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投标人按上述条款要求填写报价以便于招标人进行评标。</w:t>
      </w:r>
    </w:p>
    <w:p>
      <w:pPr>
        <w:pStyle w:val="29"/>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auto"/>
          <w:sz w:val="28"/>
          <w:szCs w:val="28"/>
          <w:highlight w:val="none"/>
          <w:shd w:val="clear" w:color="auto" w:fill="FFFFFF" w:themeFill="background1"/>
        </w:rPr>
      </w:pPr>
      <w:bookmarkStart w:id="35" w:name="_Toc526784157"/>
      <w:bookmarkStart w:id="36" w:name="_Toc516486644"/>
      <w:bookmarkStart w:id="37" w:name="_Toc198"/>
      <w:r>
        <w:rPr>
          <w:rFonts w:hint="eastAsia" w:ascii="微软雅黑" w:hAnsi="微软雅黑" w:eastAsia="微软雅黑"/>
          <w:color w:val="auto"/>
          <w:sz w:val="28"/>
          <w:szCs w:val="28"/>
          <w:highlight w:val="none"/>
          <w:shd w:val="clear" w:color="auto" w:fill="FFFFFF" w:themeFill="background1"/>
        </w:rPr>
        <w:t>2.7投标文件的递交</w:t>
      </w:r>
      <w:bookmarkEnd w:id="35"/>
      <w:bookmarkEnd w:id="36"/>
      <w:bookmarkEnd w:id="37"/>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招标人收到投标文件时间不迟于招标文件中规定的截止时间。</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招标人可以以补充通知等形式推迟投标截止日期，投标人应及时予以响应。在此情况下，投标人的所有权利和义务均应以新的截止日期为准。</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投标人必须严格按照招标文件的要求编制投标文件，明显不符合要求的将被视为废标。</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投标人必须按照招标文件的条件和要求及时提交投标文件，不符的将被视为未提交。</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投标截止日后招标人不接受投标人实质性内容的修改。</w:t>
      </w:r>
    </w:p>
    <w:p>
      <w:pPr>
        <w:pStyle w:val="4"/>
        <w:rPr>
          <w:rFonts w:ascii="微软雅黑" w:hAnsi="微软雅黑" w:eastAsia="微软雅黑"/>
          <w:color w:val="auto"/>
          <w:sz w:val="28"/>
          <w:szCs w:val="28"/>
          <w:highlight w:val="none"/>
          <w:shd w:val="clear" w:color="auto" w:fill="FFFFFF" w:themeFill="background1"/>
        </w:rPr>
      </w:pPr>
      <w:bookmarkStart w:id="38" w:name="_Toc516486645"/>
      <w:bookmarkStart w:id="39" w:name="_Toc526784158"/>
      <w:bookmarkStart w:id="40" w:name="_Toc19609"/>
      <w:r>
        <w:rPr>
          <w:rFonts w:hint="eastAsia" w:ascii="微软雅黑" w:hAnsi="微软雅黑" w:eastAsia="微软雅黑"/>
          <w:color w:val="auto"/>
          <w:sz w:val="28"/>
          <w:szCs w:val="28"/>
          <w:highlight w:val="none"/>
          <w:shd w:val="clear" w:color="auto" w:fill="FFFFFF" w:themeFill="background1"/>
        </w:rPr>
        <w:t>2.8开标与评标</w:t>
      </w:r>
      <w:bookmarkEnd w:id="38"/>
      <w:bookmarkEnd w:id="39"/>
      <w:bookmarkEnd w:id="40"/>
    </w:p>
    <w:p>
      <w:pPr>
        <w:pStyle w:val="29"/>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w:t>
      </w:r>
    </w:p>
    <w:p>
      <w:pPr>
        <w:pStyle w:val="29"/>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招标人将自行组建评标小组对投标书进行开标；</w:t>
      </w:r>
    </w:p>
    <w:p>
      <w:pPr>
        <w:pStyle w:val="29"/>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有下列情况之一者，作废标处理：</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投标人不具备投标资格的；</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没有报价的；</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投标书未加盖本单位公章及法定代表人未签字或盖章的（复印件无效）；</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投标书未按规定的格式、内容和要求填写的；</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保证金没能在规定日期前到账的；</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投标书写潦草、字迹模糊不清难以辨认的；</w:t>
      </w:r>
    </w:p>
    <w:p>
      <w:pPr>
        <w:pStyle w:val="29"/>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没有法人资格证明和法定代表人身份证明或法定代表授权人身份证件的。</w:t>
      </w:r>
    </w:p>
    <w:p>
      <w:pPr>
        <w:pStyle w:val="29"/>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评标方法及标准：综合评分法。</w:t>
      </w:r>
    </w:p>
    <w:p>
      <w:pPr>
        <w:pStyle w:val="29"/>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投标文件的澄清</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在评标期间，评标小组有权要求投标人对其投标文件进行澄清。投标人应派其法人代表或授权代表（接受询标时，应出示其居民身份证）和技术人员按招标人通知的时间和地点接受询标。</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评标小组认为有必要的，可要求投标人对某些问题作书面答复。书面答复须由投标人法人代表或授权代表签署，并作为投标文件的补充，参与评标。</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并非每个投标人都将被询标。</w:t>
      </w:r>
    </w:p>
    <w:p>
      <w:pPr>
        <w:pStyle w:val="29"/>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评标过程保密</w:t>
      </w:r>
    </w:p>
    <w:p>
      <w:pPr>
        <w:pStyle w:val="29"/>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在宣布中标人之前，凡属于审查、澄清、评价、比较投标文件和中标意向等有关信息，均不得泄露给任何投标人或与评标工作无关的人员。</w:t>
      </w:r>
    </w:p>
    <w:p>
      <w:pPr>
        <w:pStyle w:val="29"/>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投标人不得探听上述信息，不得以任何行为影响评标过程，否则将被废标。</w:t>
      </w:r>
    </w:p>
    <w:p>
      <w:pPr>
        <w:pStyle w:val="29"/>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在评标期间，招标人将指定联络人与投标人进行联络。</w:t>
      </w:r>
    </w:p>
    <w:p>
      <w:pPr>
        <w:pStyle w:val="4"/>
        <w:rPr>
          <w:rFonts w:ascii="微软雅黑" w:hAnsi="微软雅黑" w:eastAsia="微软雅黑"/>
          <w:color w:val="auto"/>
          <w:sz w:val="28"/>
          <w:szCs w:val="28"/>
          <w:highlight w:val="none"/>
          <w:shd w:val="clear" w:color="auto" w:fill="FFFFFF" w:themeFill="background1"/>
        </w:rPr>
      </w:pPr>
      <w:bookmarkStart w:id="41" w:name="_Toc31740"/>
      <w:bookmarkStart w:id="42" w:name="_Toc516486646"/>
      <w:bookmarkStart w:id="43" w:name="_Toc526784159"/>
      <w:r>
        <w:rPr>
          <w:rFonts w:hint="eastAsia" w:ascii="微软雅黑" w:hAnsi="微软雅黑" w:eastAsia="微软雅黑"/>
          <w:color w:val="auto"/>
          <w:sz w:val="28"/>
          <w:szCs w:val="28"/>
          <w:highlight w:val="none"/>
          <w:shd w:val="clear" w:color="auto" w:fill="FFFFFF" w:themeFill="background1"/>
        </w:rPr>
        <w:t>2.9授标及签约</w:t>
      </w:r>
      <w:bookmarkEnd w:id="41"/>
      <w:bookmarkEnd w:id="42"/>
      <w:bookmarkEnd w:id="43"/>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招标人有选择中标人和拒绝任何投标的权利</w:t>
      </w:r>
    </w:p>
    <w:p>
      <w:pPr>
        <w:pStyle w:val="29"/>
        <w:widowControl/>
        <w:spacing w:line="480" w:lineRule="auto"/>
        <w:ind w:left="42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招标人保留在授标之前，根据评标小组的评审意见，有权选择中标人或否决全部投标，并无向投标人解释的义务。</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签订合同</w:t>
      </w:r>
    </w:p>
    <w:p>
      <w:pPr>
        <w:pStyle w:val="29"/>
        <w:widowControl/>
        <w:spacing w:line="480" w:lineRule="auto"/>
        <w:ind w:left="420" w:leftChars="20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中标人必须在自收到中标通知后，于通知要求期限内按照招标文件的规定和投标文件的承诺等与招标人签订合同，合同模板见附件。</w:t>
      </w:r>
    </w:p>
    <w:p>
      <w:pPr>
        <w:pStyle w:val="5"/>
        <w:rPr>
          <w:rFonts w:ascii="微软雅黑" w:hAnsi="微软雅黑" w:eastAsia="微软雅黑"/>
          <w:color w:val="auto"/>
          <w:sz w:val="24"/>
          <w:szCs w:val="24"/>
          <w:highlight w:val="none"/>
          <w:shd w:val="clear" w:color="auto" w:fill="FFFFFF" w:themeFill="background1"/>
        </w:rPr>
      </w:pPr>
      <w:bookmarkStart w:id="44" w:name="_Toc516486647"/>
      <w:bookmarkStart w:id="45" w:name="_Toc526784160"/>
      <w:bookmarkStart w:id="46" w:name="_Toc24941"/>
      <w:r>
        <w:rPr>
          <w:rFonts w:hint="eastAsia" w:ascii="微软雅黑" w:hAnsi="微软雅黑" w:eastAsia="微软雅黑"/>
          <w:color w:val="auto"/>
          <w:sz w:val="24"/>
          <w:szCs w:val="24"/>
          <w:highlight w:val="none"/>
          <w:shd w:val="clear" w:color="auto" w:fill="FFFFFF" w:themeFill="background1"/>
        </w:rPr>
        <w:t>2.9.1投标保证金</w:t>
      </w:r>
      <w:bookmarkEnd w:id="44"/>
      <w:bookmarkEnd w:id="45"/>
      <w:bookmarkEnd w:id="46"/>
    </w:p>
    <w:p>
      <w:pPr>
        <w:pStyle w:val="29"/>
        <w:widowControl/>
        <w:numPr>
          <w:ilvl w:val="0"/>
          <w:numId w:val="17"/>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投标保证金的收取</w:t>
      </w:r>
      <w:r>
        <w:rPr>
          <w:rFonts w:hint="eastAsia" w:ascii="微软雅黑" w:hAnsi="微软雅黑" w:eastAsia="微软雅黑"/>
          <w:color w:val="auto"/>
          <w:szCs w:val="21"/>
          <w:highlight w:val="none"/>
          <w:shd w:val="clear" w:color="auto" w:fill="FFFFFF" w:themeFill="background1"/>
          <w:lang w:eastAsia="zh-CN"/>
        </w:rPr>
        <w:t>。</w:t>
      </w:r>
    </w:p>
    <w:p>
      <w:pPr>
        <w:pStyle w:val="29"/>
        <w:widowControl/>
        <w:numPr>
          <w:ilvl w:val="0"/>
          <w:numId w:val="17"/>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投标保证金为人民币 </w:t>
      </w:r>
      <w:r>
        <w:rPr>
          <w:rFonts w:hint="eastAsia" w:ascii="微软雅黑" w:hAnsi="微软雅黑" w:eastAsia="微软雅黑"/>
          <w:color w:val="auto"/>
          <w:szCs w:val="21"/>
          <w:highlight w:val="none"/>
          <w:u w:val="single"/>
          <w:shd w:val="clear" w:color="auto" w:fill="FFFFFF" w:themeFill="background1"/>
          <w:lang w:val="en-US" w:eastAsia="zh-CN"/>
        </w:rPr>
        <w:t>13500</w:t>
      </w:r>
      <w:r>
        <w:rPr>
          <w:rFonts w:hint="eastAsia" w:ascii="微软雅黑" w:hAnsi="微软雅黑" w:eastAsia="微软雅黑"/>
          <w:color w:val="auto"/>
          <w:szCs w:val="21"/>
          <w:highlight w:val="none"/>
          <w:u w:val="single"/>
          <w:shd w:val="clear" w:color="auto" w:fill="FFFFFF" w:themeFill="background1"/>
        </w:rPr>
        <w:t>元 （大写:</w:t>
      </w:r>
      <w:r>
        <w:rPr>
          <w:rFonts w:hint="eastAsia" w:ascii="微软雅黑" w:hAnsi="微软雅黑" w:eastAsia="微软雅黑"/>
          <w:color w:val="auto"/>
          <w:szCs w:val="21"/>
          <w:highlight w:val="none"/>
          <w:u w:val="single"/>
          <w:shd w:val="clear" w:color="auto" w:fill="FFFFFF" w:themeFill="background1"/>
          <w:lang w:val="en-US" w:eastAsia="zh-CN"/>
        </w:rPr>
        <w:t>壹万叁仟伍佰元</w:t>
      </w:r>
      <w:r>
        <w:rPr>
          <w:rFonts w:hint="eastAsia" w:ascii="微软雅黑" w:hAnsi="微软雅黑" w:eastAsia="微软雅黑"/>
          <w:color w:val="auto"/>
          <w:szCs w:val="21"/>
          <w:highlight w:val="none"/>
          <w:u w:val="single"/>
          <w:shd w:val="clear" w:color="auto" w:fill="FFFFFF" w:themeFill="background1"/>
        </w:rPr>
        <w:t>整）</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17"/>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投标保证金缴纳的形式为汇款形式。</w:t>
      </w:r>
    </w:p>
    <w:p>
      <w:pPr>
        <w:pStyle w:val="29"/>
        <w:widowControl/>
        <w:numPr>
          <w:ilvl w:val="0"/>
          <w:numId w:val="17"/>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投标保证金的退还</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招标人授标后</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shd w:val="clear" w:color="auto" w:fill="FFFFFF" w:themeFill="background1"/>
        </w:rPr>
        <w:t>个工作日内，向未中标的投标人退还投标保证金，但不计利息。</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中标人与招标人签订合同后，投标保证金随首付款退还，但不计利息。</w:t>
      </w:r>
    </w:p>
    <w:p>
      <w:pPr>
        <w:pStyle w:val="29"/>
        <w:widowControl/>
        <w:numPr>
          <w:ilvl w:val="0"/>
          <w:numId w:val="17"/>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投标保证金的没收</w:t>
      </w:r>
    </w:p>
    <w:p>
      <w:pPr>
        <w:pStyle w:val="29"/>
        <w:widowControl/>
        <w:numPr>
          <w:ilvl w:val="0"/>
          <w:numId w:val="19"/>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投标人在投标文件有效期内撤回其投标文件。</w:t>
      </w:r>
    </w:p>
    <w:p>
      <w:pPr>
        <w:pStyle w:val="29"/>
        <w:widowControl/>
        <w:numPr>
          <w:ilvl w:val="0"/>
          <w:numId w:val="19"/>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中标人未能在规定期限内签署合同。</w:t>
      </w:r>
    </w:p>
    <w:p>
      <w:pPr>
        <w:pStyle w:val="29"/>
        <w:widowControl/>
        <w:numPr>
          <w:ilvl w:val="0"/>
          <w:numId w:val="19"/>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投标单位恶意串标或向评标人员行贿等手段影响评标公正性的</w:t>
      </w:r>
      <w:r>
        <w:rPr>
          <w:rFonts w:hint="eastAsia" w:ascii="微软雅黑" w:hAnsi="微软雅黑" w:eastAsia="微软雅黑"/>
          <w:color w:val="auto"/>
          <w:szCs w:val="21"/>
          <w:highlight w:val="none"/>
          <w:shd w:val="clear" w:color="auto" w:fill="FFFFFF" w:themeFill="background1"/>
        </w:rPr>
        <w:t>。</w:t>
      </w:r>
      <w:bookmarkStart w:id="47" w:name="_Toc516486648"/>
    </w:p>
    <w:p>
      <w:pPr>
        <w:pStyle w:val="3"/>
        <w:rPr>
          <w:rFonts w:ascii="微软雅黑" w:hAnsi="微软雅黑" w:eastAsia="微软雅黑"/>
          <w:color w:val="auto"/>
          <w:sz w:val="30"/>
          <w:szCs w:val="30"/>
          <w:highlight w:val="none"/>
          <w:shd w:val="clear" w:color="auto" w:fill="FFFFFF" w:themeFill="background1"/>
        </w:rPr>
      </w:pPr>
      <w:bookmarkStart w:id="48" w:name="_Toc4546"/>
      <w:bookmarkStart w:id="49" w:name="_Toc526784161"/>
      <w:r>
        <w:rPr>
          <w:rFonts w:hint="eastAsia" w:ascii="微软雅黑" w:hAnsi="微软雅黑" w:eastAsia="微软雅黑"/>
          <w:color w:val="auto"/>
          <w:sz w:val="30"/>
          <w:szCs w:val="30"/>
          <w:highlight w:val="none"/>
          <w:shd w:val="clear" w:color="auto" w:fill="FFFFFF" w:themeFill="background1"/>
        </w:rPr>
        <w:t>3.招标项目</w:t>
      </w:r>
      <w:r>
        <w:rPr>
          <w:rFonts w:ascii="微软雅黑" w:hAnsi="微软雅黑" w:eastAsia="微软雅黑"/>
          <w:color w:val="auto"/>
          <w:sz w:val="30"/>
          <w:szCs w:val="30"/>
          <w:highlight w:val="none"/>
          <w:shd w:val="clear" w:color="auto" w:fill="FFFFFF" w:themeFill="background1"/>
        </w:rPr>
        <w:t>要求</w:t>
      </w:r>
      <w:bookmarkEnd w:id="47"/>
      <w:bookmarkEnd w:id="48"/>
      <w:bookmarkEnd w:id="49"/>
    </w:p>
    <w:p>
      <w:pPr>
        <w:pStyle w:val="4"/>
        <w:rPr>
          <w:rFonts w:ascii="微软雅黑" w:hAnsi="微软雅黑" w:eastAsia="微软雅黑"/>
          <w:color w:val="auto"/>
          <w:sz w:val="28"/>
          <w:szCs w:val="28"/>
          <w:highlight w:val="none"/>
          <w:shd w:val="clear" w:color="auto" w:fill="FFFFFF" w:themeFill="background1"/>
        </w:rPr>
      </w:pPr>
      <w:bookmarkStart w:id="50" w:name="_Toc526784166"/>
      <w:bookmarkStart w:id="51" w:name="_Toc27771"/>
      <w:bookmarkStart w:id="52" w:name="_Toc516486653"/>
      <w:r>
        <w:rPr>
          <w:rFonts w:hint="eastAsia" w:ascii="微软雅黑" w:hAnsi="微软雅黑" w:eastAsia="微软雅黑"/>
          <w:color w:val="auto"/>
          <w:sz w:val="28"/>
          <w:szCs w:val="28"/>
          <w:highlight w:val="none"/>
          <w:shd w:val="clear" w:color="auto" w:fill="FFFFFF" w:themeFill="background1"/>
        </w:rPr>
        <w:t>3.1招标内容</w:t>
      </w:r>
      <w:r>
        <w:rPr>
          <w:rFonts w:ascii="微软雅黑" w:hAnsi="微软雅黑" w:eastAsia="微软雅黑"/>
          <w:color w:val="auto"/>
          <w:sz w:val="28"/>
          <w:szCs w:val="28"/>
          <w:highlight w:val="none"/>
          <w:shd w:val="clear" w:color="auto" w:fill="FFFFFF" w:themeFill="background1"/>
        </w:rPr>
        <w:t>及要求</w:t>
      </w:r>
      <w:bookmarkEnd w:id="50"/>
      <w:bookmarkEnd w:id="51"/>
      <w:bookmarkEnd w:id="52"/>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本次招标采购范围包括不锈钢设备的设计、制造、运输、安装、调试、售后服务等，即为“交钥匙工程”。</w:t>
      </w:r>
    </w:p>
    <w:p>
      <w:pPr>
        <w:numPr>
          <w:ilvl w:val="0"/>
          <w:numId w:val="0"/>
        </w:numPr>
        <w:spacing w:before="120" w:after="156" w:line="360" w:lineRule="auto"/>
        <w:jc w:val="left"/>
        <w:rPr>
          <w:color w:val="auto"/>
          <w:highlight w:val="none"/>
          <w:shd w:val="clear" w:color="auto" w:fill="FFFFFF" w:themeFill="background1"/>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最终中标单位根据项目实际需要进行的设备变更，中标单位需保持设备单价不变。</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3" w:name="_Toc526784168"/>
      <w:bookmarkStart w:id="54" w:name="_Toc527105179"/>
      <w:bookmarkStart w:id="55" w:name="_Toc516486655"/>
      <w:bookmarkStart w:id="56" w:name="_Toc12308"/>
      <w:r>
        <w:rPr>
          <w:rFonts w:hint="eastAsia" w:ascii="微软雅黑" w:hAnsi="微软雅黑" w:eastAsia="微软雅黑"/>
          <w:color w:val="auto"/>
          <w:sz w:val="24"/>
          <w:szCs w:val="24"/>
          <w:highlight w:val="none"/>
          <w:shd w:val="clear" w:color="auto" w:fill="FFFFFF" w:themeFill="background1"/>
        </w:rPr>
        <w:t>3.1.1需求</w:t>
      </w:r>
      <w:bookmarkEnd w:id="53"/>
      <w:bookmarkEnd w:id="54"/>
      <w:bookmarkEnd w:id="55"/>
      <w:r>
        <w:rPr>
          <w:rFonts w:hint="eastAsia" w:ascii="微软雅黑" w:hAnsi="微软雅黑" w:eastAsia="微软雅黑"/>
          <w:color w:val="auto"/>
          <w:sz w:val="24"/>
          <w:szCs w:val="24"/>
          <w:highlight w:val="none"/>
          <w:shd w:val="clear" w:color="auto" w:fill="FFFFFF" w:themeFill="background1"/>
          <w:lang w:val="en-US" w:eastAsia="zh-CN"/>
        </w:rPr>
        <w:t>说明</w:t>
      </w:r>
      <w:bookmarkEnd w:id="56"/>
    </w:p>
    <w:p>
      <w:pPr>
        <w:numPr>
          <w:ilvl w:val="0"/>
          <w:numId w:val="2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按招标方提供的设备尺寸及使用要求制作、供货、安装、调试及验收。</w:t>
      </w:r>
    </w:p>
    <w:p>
      <w:pPr>
        <w:numPr>
          <w:ilvl w:val="0"/>
          <w:numId w:val="20"/>
        </w:numPr>
        <w:spacing w:before="120" w:after="156" w:line="360" w:lineRule="auto"/>
        <w:ind w:left="0" w:leftChars="0" w:firstLine="0" w:firstLine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此项目要求投标单位可对方案进行节能优化，优化结果在“差异表”中体现。</w:t>
      </w:r>
    </w:p>
    <w:p>
      <w:pPr>
        <w:numPr>
          <w:ilvl w:val="0"/>
          <w:numId w:val="20"/>
        </w:numPr>
        <w:spacing w:before="120" w:after="156" w:line="360" w:lineRule="auto"/>
        <w:ind w:left="0" w:leftChars="0" w:firstLine="0"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此项目为生产加工车间配套的不锈钢设备，设备材质要求均为304不锈钢。</w:t>
      </w:r>
    </w:p>
    <w:p>
      <w:pPr>
        <w:pStyle w:val="2"/>
        <w:numPr>
          <w:ilvl w:val="0"/>
          <w:numId w:val="20"/>
        </w:numPr>
        <w:ind w:left="0" w:leftChars="0" w:firstLine="0"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设备与耗材不得存在捆绑关系。</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7" w:name="_Toc25897"/>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2交付时间</w:t>
      </w:r>
      <w:bookmarkEnd w:id="57"/>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合同签订生效后40日内完成安装及调试运行。</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8" w:name="_Toc5305"/>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3交付地点</w:t>
      </w:r>
      <w:bookmarkEnd w:id="58"/>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石家庄市经济技术开发区三峡路23号--北国物流产业园(石家庄)分公司设备安置点。</w:t>
      </w:r>
    </w:p>
    <w:p>
      <w:pPr>
        <w:pStyle w:val="5"/>
        <w:rPr>
          <w:rFonts w:hint="default" w:ascii="微软雅黑" w:hAnsi="微软雅黑" w:eastAsia="微软雅黑"/>
          <w:color w:val="auto"/>
          <w:sz w:val="24"/>
          <w:szCs w:val="24"/>
          <w:highlight w:val="none"/>
          <w:shd w:val="clear" w:color="auto" w:fill="FFFFFF" w:themeFill="background1"/>
          <w:lang w:val="en-US" w:eastAsia="zh-CN"/>
        </w:rPr>
      </w:pPr>
      <w:bookmarkStart w:id="59" w:name="_Toc14271"/>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4 技术参数及主要配置</w:t>
      </w:r>
      <w:bookmarkEnd w:id="59"/>
    </w:p>
    <w:p>
      <w:pPr>
        <w:pStyle w:val="2"/>
        <w:numPr>
          <w:ilvl w:val="0"/>
          <w:numId w:val="0"/>
        </w:numPr>
        <w:ind w:leftChars="0"/>
        <w:rPr>
          <w:rFonts w:hint="default"/>
          <w:lang w:val="en-US" w:eastAsia="zh-CN"/>
        </w:rPr>
      </w:pPr>
      <w:r>
        <w:rPr>
          <w:rFonts w:hint="eastAsia" w:hAnsi="微软雅黑" w:cs="Times New Roman"/>
          <w:color w:val="auto"/>
          <w:kern w:val="2"/>
          <w:sz w:val="21"/>
          <w:szCs w:val="21"/>
          <w:highlight w:val="none"/>
          <w:shd w:val="clear" w:color="auto" w:fill="FFFFFF" w:themeFill="background1"/>
          <w:lang w:val="en-US" w:eastAsia="zh-CN" w:bidi="ar-SA"/>
        </w:rPr>
        <w:t>A.设备采购技术规格书</w:t>
      </w:r>
    </w:p>
    <w:tbl>
      <w:tblPr>
        <w:tblStyle w:val="17"/>
        <w:tblpPr w:leftFromText="180" w:rightFromText="180" w:vertAnchor="text" w:horzAnchor="page" w:tblpX="1504" w:tblpY="679"/>
        <w:tblOverlap w:val="never"/>
        <w:tblW w:w="9450" w:type="dxa"/>
        <w:tblInd w:w="0" w:type="dxa"/>
        <w:shd w:val="clear" w:color="auto" w:fill="auto"/>
        <w:tblLayout w:type="autofit"/>
        <w:tblCellMar>
          <w:top w:w="0" w:type="dxa"/>
          <w:left w:w="0" w:type="dxa"/>
          <w:bottom w:w="0" w:type="dxa"/>
          <w:right w:w="0" w:type="dxa"/>
        </w:tblCellMar>
      </w:tblPr>
      <w:tblGrid>
        <w:gridCol w:w="1900"/>
        <w:gridCol w:w="6935"/>
        <w:gridCol w:w="615"/>
      </w:tblGrid>
      <w:tr>
        <w:tblPrEx>
          <w:shd w:val="clear" w:color="auto" w:fill="auto"/>
          <w:tblCellMar>
            <w:top w:w="0" w:type="dxa"/>
            <w:left w:w="0" w:type="dxa"/>
            <w:bottom w:w="0" w:type="dxa"/>
            <w:right w:w="0" w:type="dxa"/>
          </w:tblCellMar>
        </w:tblPrEx>
        <w:trPr>
          <w:trHeight w:val="680" w:hRule="atLeast"/>
        </w:trPr>
        <w:tc>
          <w:tcPr>
            <w:tcW w:w="945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1"/>
                <w:szCs w:val="21"/>
                <w:u w:val="none"/>
              </w:rPr>
            </w:pPr>
            <w:r>
              <w:rPr>
                <w:rFonts w:hint="eastAsia" w:ascii="微软雅黑" w:hAnsi="微软雅黑" w:eastAsia="微软雅黑" w:cs="微软雅黑"/>
                <w:b/>
                <w:i w:val="0"/>
                <w:color w:val="000000"/>
                <w:kern w:val="0"/>
                <w:sz w:val="21"/>
                <w:szCs w:val="21"/>
                <w:u w:val="none"/>
                <w:lang w:val="en-US" w:eastAsia="zh-CN" w:bidi="ar"/>
              </w:rPr>
              <w:t>不锈钢设备采购技术规格书</w:t>
            </w:r>
          </w:p>
        </w:tc>
      </w:tr>
      <w:tr>
        <w:tblPrEx>
          <w:tblCellMar>
            <w:top w:w="0" w:type="dxa"/>
            <w:left w:w="0" w:type="dxa"/>
            <w:bottom w:w="0" w:type="dxa"/>
            <w:right w:w="0" w:type="dxa"/>
          </w:tblCellMar>
        </w:tblPrEx>
        <w:trPr>
          <w:trHeight w:val="540" w:hRule="atLeast"/>
        </w:trPr>
        <w:tc>
          <w:tcPr>
            <w:tcW w:w="945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1"/>
                <w:szCs w:val="21"/>
                <w:u w:val="none"/>
              </w:rPr>
            </w:pPr>
            <w:r>
              <w:rPr>
                <w:rFonts w:hint="eastAsia" w:ascii="微软雅黑" w:hAnsi="微软雅黑" w:eastAsia="微软雅黑" w:cs="微软雅黑"/>
                <w:b/>
                <w:i w:val="0"/>
                <w:color w:val="000000"/>
                <w:kern w:val="0"/>
                <w:sz w:val="21"/>
                <w:szCs w:val="21"/>
                <w:u w:val="none"/>
                <w:lang w:val="en-US" w:eastAsia="zh-CN" w:bidi="ar"/>
              </w:rPr>
              <w:t>主要设备技术规格要求</w:t>
            </w:r>
          </w:p>
        </w:tc>
      </w:tr>
      <w:tr>
        <w:tblPrEx>
          <w:tblCellMar>
            <w:top w:w="0" w:type="dxa"/>
            <w:left w:w="0" w:type="dxa"/>
            <w:bottom w:w="0" w:type="dxa"/>
            <w:right w:w="0" w:type="dxa"/>
          </w:tblCellMar>
        </w:tblPrEx>
        <w:trPr>
          <w:trHeight w:val="4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设备名称</w:t>
            </w:r>
          </w:p>
        </w:tc>
        <w:tc>
          <w:tcPr>
            <w:tcW w:w="6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设备参数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数量</w:t>
            </w:r>
          </w:p>
        </w:tc>
      </w:tr>
      <w:tr>
        <w:tblPrEx>
          <w:tblCellMar>
            <w:top w:w="0" w:type="dxa"/>
            <w:left w:w="0" w:type="dxa"/>
            <w:bottom w:w="0" w:type="dxa"/>
            <w:right w:w="0" w:type="dxa"/>
          </w:tblCellMar>
        </w:tblPrEx>
        <w:trPr>
          <w:trHeight w:val="22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不锈钢包装作业台</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1"/>
                <w:szCs w:val="21"/>
                <w:u w:val="none"/>
                <w:lang w:val="en-US"/>
              </w:rPr>
            </w:pPr>
            <w:r>
              <w:rPr>
                <w:rFonts w:hint="eastAsia" w:ascii="微软雅黑" w:hAnsi="微软雅黑" w:eastAsia="微软雅黑" w:cs="微软雅黑"/>
                <w:i w:val="0"/>
                <w:color w:val="000000"/>
                <w:kern w:val="0"/>
                <w:sz w:val="21"/>
                <w:szCs w:val="21"/>
                <w:u w:val="none"/>
                <w:lang w:val="en-US" w:eastAsia="zh-CN" w:bidi="ar"/>
              </w:rPr>
              <w:t>1.台面板采用304不锈钢板厚度≥1.5mm，配厚度≥1.2mm不锈钢板做补强撑；台面板下增加15mm-20mm竹胶板；</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2.层板采用304不锈钢板厚度≥1.2mm，配厚度≥1.2mm做补强撑；</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3.脚通采用Φ38mm厚度≥1.5mm不锈钢圆通，配可调不锈钢子弹脚不少于4个；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4.台面搁板和底板均能承受≥100KG荷载，其变形量≤0.2mm；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5.尺寸要求：1000*800*800mm。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2</w:t>
            </w:r>
          </w:p>
        </w:tc>
      </w:tr>
      <w:tr>
        <w:tblPrEx>
          <w:tblCellMar>
            <w:top w:w="0" w:type="dxa"/>
            <w:left w:w="0" w:type="dxa"/>
            <w:bottom w:w="0" w:type="dxa"/>
            <w:right w:w="0" w:type="dxa"/>
          </w:tblCellMar>
        </w:tblPrEx>
        <w:trPr>
          <w:trHeight w:val="254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不锈钢作业台</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1.台面板材质304不锈钢；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2.尺寸要求：1200*600*800mm；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3.板厚度≥1.5mm，配厚度≥1.2mm不锈钢板做补强撑；台面板下增加15mm-20mm竹胶板；</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4.层板材质304不锈钢板厚度≥1.2mm，配厚度≥1.2mm做补强撑；</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5.层板下根据长度增加横筋：长度1200mm增加1根横筋；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6.脚通采用Φ38mm厚度≥1.5mm不锈钢圆通，配可调不锈钢子弹脚不少于4个；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7.台面搁板和底板均能承受≥100KG荷载，其变形量≤0.2mm。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lang w:val="en-US" w:eastAsia="zh-CN"/>
              </w:rPr>
            </w:pPr>
            <w:r>
              <w:rPr>
                <w:rFonts w:hint="eastAsia" w:ascii="微软雅黑" w:hAnsi="微软雅黑" w:eastAsia="微软雅黑" w:cs="微软雅黑"/>
                <w:i w:val="0"/>
                <w:color w:val="000000"/>
                <w:sz w:val="21"/>
                <w:szCs w:val="21"/>
                <w:u w:val="none"/>
                <w:lang w:val="en-US" w:eastAsia="zh-CN"/>
              </w:rPr>
              <w:t>2</w:t>
            </w:r>
          </w:p>
        </w:tc>
      </w:tr>
      <w:tr>
        <w:tblPrEx>
          <w:tblCellMar>
            <w:top w:w="0" w:type="dxa"/>
            <w:left w:w="0" w:type="dxa"/>
            <w:bottom w:w="0" w:type="dxa"/>
            <w:right w:w="0" w:type="dxa"/>
          </w:tblCellMar>
        </w:tblPrEx>
        <w:trPr>
          <w:trHeight w:val="27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不锈钢作业台</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1.台面板材质304不锈钢；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2.尺寸要求：1500*750*800mm；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3.板厚度≥1.5mm，配厚度≥1.2mm不锈钢板做补强撑；台面板下增加15mm-20mm竹胶板；</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4.层板材质304不锈钢板厚度≥1.2mm，配厚度≥1.2mm做补强撑；</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5.层板下根据长度增加横筋：长度1500mm增加2根横筋；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6.脚通采用Φ38mm厚度≥1.5mm不锈钢圆通，配可调不锈钢子弹脚不少于4个；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7.台面搁板和底板均能承受≥100KG荷载，其变形量≤0.2mm。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sz w:val="21"/>
                <w:szCs w:val="21"/>
                <w:u w:val="none"/>
                <w:lang w:val="en-US" w:eastAsia="zh-CN"/>
              </w:rPr>
            </w:pPr>
            <w:r>
              <w:rPr>
                <w:rFonts w:hint="eastAsia" w:ascii="微软雅黑" w:hAnsi="微软雅黑" w:eastAsia="微软雅黑" w:cs="微软雅黑"/>
                <w:i w:val="0"/>
                <w:color w:val="000000"/>
                <w:sz w:val="21"/>
                <w:szCs w:val="21"/>
                <w:u w:val="none"/>
                <w:lang w:val="en-US" w:eastAsia="zh-CN"/>
              </w:rPr>
              <w:t>25</w:t>
            </w:r>
          </w:p>
        </w:tc>
      </w:tr>
      <w:tr>
        <w:tblPrEx>
          <w:tblCellMar>
            <w:top w:w="0" w:type="dxa"/>
            <w:left w:w="0" w:type="dxa"/>
            <w:bottom w:w="0" w:type="dxa"/>
            <w:right w:w="0" w:type="dxa"/>
          </w:tblCellMar>
        </w:tblPrEx>
        <w:trPr>
          <w:trHeight w:val="28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不锈钢作业台</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1.台面板材质304不锈钢；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2.尺寸要求：2000*1000*800mm；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3.板厚度≥1.5mm，配厚度≥1.2mm不锈钢板做补强撑；台面板下增加15mm-20mm竹胶板；</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4.层板材质304不锈钢板厚度≥1.2mm，配厚度≥1.2mm做补强撑；</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5.层板下根据长度增加横筋：长度2000mm增加3根横筋；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6.脚通采用Φ38mm厚度≥1.5mm不锈钢圆通，配可调不锈钢子弹脚不少于4个；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7.台面搁板和底板均能承受≥100KG荷载，其变形量≤0.2mm。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25</w:t>
            </w:r>
          </w:p>
        </w:tc>
      </w:tr>
      <w:tr>
        <w:tblPrEx>
          <w:tblCellMar>
            <w:top w:w="0" w:type="dxa"/>
            <w:left w:w="0" w:type="dxa"/>
            <w:bottom w:w="0" w:type="dxa"/>
            <w:right w:w="0" w:type="dxa"/>
          </w:tblCellMar>
        </w:tblPrEx>
        <w:trPr>
          <w:trHeight w:val="16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带轮料车2层</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 xml:space="preserve">2.尺寸：1000*500*800mm；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3.车身板厚度为1.5mm，上层深度80mm，配四个万向静音轮，其中两个万向带紧锁装置，脚轮的材质为耐磨.静音.耐油的橡胶制品，带刹车。</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14</w:t>
            </w:r>
          </w:p>
        </w:tc>
      </w:tr>
      <w:tr>
        <w:tblPrEx>
          <w:tblCellMar>
            <w:top w:w="0" w:type="dxa"/>
            <w:left w:w="0" w:type="dxa"/>
            <w:bottom w:w="0" w:type="dxa"/>
            <w:right w:w="0" w:type="dxa"/>
          </w:tblCellMar>
        </w:tblPrEx>
        <w:trPr>
          <w:trHeight w:val="156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auto"/>
                <w:sz w:val="21"/>
                <w:szCs w:val="21"/>
                <w:u w:val="none"/>
              </w:rPr>
            </w:pPr>
            <w:r>
              <w:rPr>
                <w:rFonts w:hint="eastAsia" w:ascii="微软雅黑" w:hAnsi="微软雅黑" w:eastAsia="微软雅黑" w:cs="微软雅黑"/>
                <w:i w:val="0"/>
                <w:color w:val="auto"/>
                <w:kern w:val="0"/>
                <w:sz w:val="21"/>
                <w:szCs w:val="21"/>
                <w:u w:val="none"/>
                <w:lang w:val="en-US" w:eastAsia="zh-CN" w:bidi="ar"/>
              </w:rPr>
              <w:t>六轮台车</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auto"/>
                <w:kern w:val="0"/>
                <w:sz w:val="21"/>
                <w:szCs w:val="21"/>
                <w:u w:val="none"/>
                <w:lang w:val="en-US" w:eastAsia="zh-CN" w:bidi="ar"/>
              </w:rPr>
            </w:pPr>
            <w:r>
              <w:rPr>
                <w:rFonts w:hint="eastAsia" w:ascii="微软雅黑" w:hAnsi="微软雅黑" w:eastAsia="微软雅黑" w:cs="微软雅黑"/>
                <w:i w:val="0"/>
                <w:color w:val="auto"/>
                <w:kern w:val="0"/>
                <w:sz w:val="21"/>
                <w:szCs w:val="21"/>
                <w:u w:val="none"/>
                <w:lang w:val="en-US" w:eastAsia="zh-CN" w:bidi="ar"/>
              </w:rPr>
              <w:t>1.材质304不锈钢；</w:t>
            </w:r>
          </w:p>
          <w:p>
            <w:pPr>
              <w:keepNext w:val="0"/>
              <w:keepLines w:val="0"/>
              <w:widowControl/>
              <w:suppressLineNumbers w:val="0"/>
              <w:jc w:val="left"/>
              <w:textAlignment w:val="center"/>
              <w:rPr>
                <w:rFonts w:hint="eastAsia" w:ascii="微软雅黑" w:hAnsi="微软雅黑" w:eastAsia="微软雅黑" w:cs="微软雅黑"/>
                <w:i w:val="0"/>
                <w:color w:val="auto"/>
                <w:kern w:val="0"/>
                <w:sz w:val="21"/>
                <w:szCs w:val="21"/>
                <w:u w:val="none"/>
                <w:lang w:val="en-US" w:eastAsia="zh-CN" w:bidi="ar"/>
              </w:rPr>
            </w:pPr>
            <w:r>
              <w:rPr>
                <w:rFonts w:hint="eastAsia" w:ascii="微软雅黑" w:hAnsi="微软雅黑" w:eastAsia="微软雅黑" w:cs="微软雅黑"/>
                <w:i w:val="0"/>
                <w:color w:val="auto"/>
                <w:kern w:val="0"/>
                <w:sz w:val="21"/>
                <w:szCs w:val="21"/>
                <w:u w:val="none"/>
                <w:lang w:val="en-US" w:eastAsia="zh-CN" w:bidi="ar"/>
              </w:rPr>
              <w:t>2.尺寸：1280*600*1600mm；</w:t>
            </w:r>
          </w:p>
          <w:p>
            <w:pPr>
              <w:keepNext w:val="0"/>
              <w:keepLines w:val="0"/>
              <w:widowControl/>
              <w:suppressLineNumbers w:val="0"/>
              <w:jc w:val="left"/>
              <w:textAlignment w:val="center"/>
              <w:rPr>
                <w:rFonts w:hint="eastAsia" w:ascii="微软雅黑" w:hAnsi="微软雅黑" w:eastAsia="微软雅黑" w:cs="微软雅黑"/>
                <w:i w:val="0"/>
                <w:color w:val="auto"/>
                <w:kern w:val="0"/>
                <w:sz w:val="21"/>
                <w:szCs w:val="21"/>
                <w:u w:val="none"/>
                <w:lang w:val="en-US" w:eastAsia="zh-CN" w:bidi="ar"/>
              </w:rPr>
            </w:pPr>
            <w:r>
              <w:rPr>
                <w:rFonts w:hint="eastAsia" w:ascii="微软雅黑" w:hAnsi="微软雅黑" w:eastAsia="微软雅黑" w:cs="微软雅黑"/>
                <w:i w:val="0"/>
                <w:color w:val="auto"/>
                <w:kern w:val="0"/>
                <w:sz w:val="21"/>
                <w:szCs w:val="21"/>
                <w:u w:val="none"/>
                <w:lang w:val="en-US" w:eastAsia="zh-CN" w:bidi="ar"/>
              </w:rPr>
              <w:t>3.两侧轮子为万向轮，中间轮子为定向轮；定向轮直径大于万向轮3公分；</w:t>
            </w:r>
          </w:p>
          <w:p>
            <w:pPr>
              <w:keepNext w:val="0"/>
              <w:keepLines w:val="0"/>
              <w:widowControl/>
              <w:suppressLineNumbers w:val="0"/>
              <w:jc w:val="left"/>
              <w:textAlignment w:val="center"/>
              <w:rPr>
                <w:rFonts w:hint="eastAsia" w:ascii="微软雅黑" w:hAnsi="微软雅黑" w:eastAsia="微软雅黑" w:cs="微软雅黑"/>
                <w:i w:val="0"/>
                <w:color w:val="auto"/>
                <w:sz w:val="21"/>
                <w:szCs w:val="21"/>
                <w:u w:val="none"/>
              </w:rPr>
            </w:pPr>
            <w:r>
              <w:rPr>
                <w:rFonts w:hint="eastAsia" w:ascii="微软雅黑" w:hAnsi="微软雅黑" w:eastAsia="微软雅黑" w:cs="微软雅黑"/>
                <w:i w:val="0"/>
                <w:color w:val="auto"/>
                <w:kern w:val="0"/>
                <w:sz w:val="21"/>
                <w:szCs w:val="21"/>
                <w:u w:val="none"/>
                <w:lang w:val="en-US" w:eastAsia="zh-CN" w:bidi="ar"/>
              </w:rPr>
              <w:t>4.底板侧边高度为3cm；                                            5.两侧护栏材质40*40mm方管；                                        6.六轮台两侧护栏1200mm高度加装快拆支撑梁2个；                 7.设备承重及推拉200kg。</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50</w:t>
            </w:r>
          </w:p>
        </w:tc>
      </w:tr>
      <w:tr>
        <w:tblPrEx>
          <w:tblCellMar>
            <w:top w:w="0" w:type="dxa"/>
            <w:left w:w="0" w:type="dxa"/>
            <w:bottom w:w="0" w:type="dxa"/>
            <w:right w:w="0" w:type="dxa"/>
          </w:tblCellMar>
        </w:tblPrEx>
        <w:trPr>
          <w:trHeight w:val="154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不锈钢转运车</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 xml:space="preserve">2.尺寸：900*650*170mm；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3.高度170mm为钢板底部与地面距离,底部沿深40mm；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4.轮子要求为2个万向轮，2个定向轮，轮子直径不得小于10cm。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50</w:t>
            </w:r>
          </w:p>
        </w:tc>
      </w:tr>
      <w:tr>
        <w:tblPrEx>
          <w:tblCellMar>
            <w:top w:w="0" w:type="dxa"/>
            <w:left w:w="0" w:type="dxa"/>
            <w:bottom w:w="0" w:type="dxa"/>
            <w:right w:w="0" w:type="dxa"/>
          </w:tblCellMar>
        </w:tblPrEx>
        <w:trPr>
          <w:trHeight w:val="23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蒸汽消毒柜单开门，（配笼车3层）</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1"/>
                <w:szCs w:val="21"/>
                <w:u w:val="none"/>
                <w:lang w:val="en-US"/>
              </w:rPr>
            </w:pPr>
            <w:r>
              <w:rPr>
                <w:rFonts w:hint="eastAsia" w:ascii="微软雅黑" w:hAnsi="微软雅黑" w:eastAsia="微软雅黑" w:cs="微软雅黑"/>
                <w:i w:val="0"/>
                <w:color w:val="auto"/>
                <w:kern w:val="0"/>
                <w:sz w:val="21"/>
                <w:szCs w:val="21"/>
                <w:u w:val="none"/>
                <w:lang w:val="en-US" w:eastAsia="zh-CN" w:bidi="ar"/>
              </w:rPr>
              <w:t xml:space="preserve">1.材质304不锈钢；尺寸1100*1100*1800mm；                         </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2.蒸汽压力3公斤；</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3.材质厚度1.5mm；</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4.消毒柜外表温度&lt;40度；</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5.配蒸汽压力阀；</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6.配温度表；</w:t>
            </w:r>
            <w:r>
              <w:rPr>
                <w:rFonts w:hint="eastAsia" w:ascii="微软雅黑" w:hAnsi="微软雅黑" w:eastAsia="微软雅黑" w:cs="微软雅黑"/>
                <w:i w:val="0"/>
                <w:color w:val="auto"/>
                <w:kern w:val="0"/>
                <w:sz w:val="21"/>
                <w:szCs w:val="21"/>
                <w:u w:val="none"/>
                <w:lang w:val="en-US" w:eastAsia="zh-CN" w:bidi="ar"/>
              </w:rPr>
              <w:br w:type="textWrapping"/>
            </w:r>
            <w:r>
              <w:rPr>
                <w:rFonts w:hint="eastAsia" w:ascii="微软雅黑" w:hAnsi="微软雅黑" w:eastAsia="微软雅黑" w:cs="微软雅黑"/>
                <w:i w:val="0"/>
                <w:color w:val="auto"/>
                <w:kern w:val="0"/>
                <w:sz w:val="21"/>
                <w:szCs w:val="21"/>
                <w:u w:val="none"/>
                <w:lang w:val="en-US" w:eastAsia="zh-CN" w:bidi="ar"/>
              </w:rPr>
              <w:t xml:space="preserve">7.设备底板离地高度150mm；                                        8.四角处使用升降调节腿，调节高度100mm；                         </w:t>
            </w:r>
            <w:r>
              <w:rPr>
                <w:rFonts w:hint="eastAsia" w:ascii="微软雅黑" w:hAnsi="微软雅黑" w:eastAsia="微软雅黑" w:cs="微软雅黑"/>
                <w:i w:val="0"/>
                <w:iCs w:val="0"/>
                <w:color w:val="auto"/>
                <w:kern w:val="0"/>
                <w:sz w:val="21"/>
                <w:szCs w:val="21"/>
                <w:u w:val="none"/>
                <w:lang w:val="en-US" w:eastAsia="zh-CN" w:bidi="ar"/>
              </w:rPr>
              <w:t>9.笼车3层，每层加隔板是放消毒器具，笼车轴承采用不锈钢。</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6</w:t>
            </w:r>
          </w:p>
        </w:tc>
      </w:tr>
      <w:tr>
        <w:tblPrEx>
          <w:tblCellMar>
            <w:top w:w="0" w:type="dxa"/>
            <w:left w:w="0" w:type="dxa"/>
            <w:bottom w:w="0" w:type="dxa"/>
            <w:right w:w="0" w:type="dxa"/>
          </w:tblCellMar>
        </w:tblPrEx>
        <w:trPr>
          <w:trHeight w:val="260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红外线消毒柜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2.电压：220V 功率：4400W；</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3.尺寸：1100*460*1800mm；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4.容积：700L-800L；</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5.消毒方式：高温热风消毒，消毒温度≥125度;</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6.干式高温消毒使餐具无残留水迹 ，集餐具消毒与烘干及无菌储存功能于一身 ，达到国家卫生部消毒检测要求；</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7.耐高温钢化玻璃可视门，箱体内装配8层不锈钢篦子，智能触摸式控制面板。</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3</w:t>
            </w:r>
          </w:p>
        </w:tc>
      </w:tr>
      <w:tr>
        <w:tblPrEx>
          <w:tblCellMar>
            <w:top w:w="0" w:type="dxa"/>
            <w:left w:w="0" w:type="dxa"/>
            <w:bottom w:w="0" w:type="dxa"/>
            <w:right w:w="0" w:type="dxa"/>
          </w:tblCellMar>
        </w:tblPrEx>
        <w:trPr>
          <w:trHeight w:val="210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不锈钢板式货架</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1.材质304不锈钢制作；</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2.尺寸：1500*600*1800mm；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3.立柱φ38mm不锈钢圆管用料厚度≥1.5mm；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4.层板采用304不锈钢厚度≥1.2mm，加筋厚度≥1.2mm；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5.每台配备不锈钢可调子弹脚不少于4个；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6.层高400mm；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7.搁板应能承受≥100KG载荷。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32</w:t>
            </w:r>
          </w:p>
        </w:tc>
      </w:tr>
      <w:tr>
        <w:tblPrEx>
          <w:tblCellMar>
            <w:top w:w="0" w:type="dxa"/>
            <w:left w:w="0" w:type="dxa"/>
            <w:bottom w:w="0" w:type="dxa"/>
            <w:right w:w="0" w:type="dxa"/>
          </w:tblCellMar>
        </w:tblPrEx>
        <w:trPr>
          <w:trHeight w:val="288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不锈钢单星水槽</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1.材质304不锈钢；尺寸1500*1000*800mm；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2.台面板采用304不锈钢板厚度≥1.5mm，配厚度≥1.2mm不锈钢方管做加力筋；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3.星盆采用304不锈钢板，厚度≥1.5mm；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4.台脚采用Φ38mm厚度为≥1.5mm不锈钢圆通，横撑φ25*1.5mm不锈钢圆管，配可调不锈钢子弹脚；</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5.水槽底部承受≥100KG载荷，其变形量≤0.30mm；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6.可调节脚配PVC硬管S存水弯去水,弯头配检查口；配不锈钢下水器带盖；配铜芯不锈钢水龙头、上下水管（不锈钢外壳、管子可伸缩）及下水孔堵头连接至排水口。</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6</w:t>
            </w:r>
          </w:p>
        </w:tc>
      </w:tr>
      <w:tr>
        <w:tblPrEx>
          <w:tblCellMar>
            <w:top w:w="0" w:type="dxa"/>
            <w:left w:w="0" w:type="dxa"/>
            <w:bottom w:w="0" w:type="dxa"/>
            <w:right w:w="0" w:type="dxa"/>
          </w:tblCellMar>
        </w:tblPrEx>
        <w:trPr>
          <w:trHeight w:val="2080" w:hRule="atLeast"/>
        </w:trPr>
        <w:tc>
          <w:tcPr>
            <w:tcW w:w="19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智能洗手消毒池</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1.尺寸：L500×W450×H850mm；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2.主要功能：洗手、手消毒、手烘干一体机；</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3.电源功率：AC220V/50HZ 1300W；</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4.进水口：1/2"（DN15）；</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5.排水口：1-1/4"(DN32软管)；</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6.材质：304不锈钢；</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7.底下配柜子，柜子高度500mm，与消毒机尺寸配套。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18</w:t>
            </w:r>
          </w:p>
        </w:tc>
      </w:tr>
      <w:tr>
        <w:tblPrEx>
          <w:tblCellMar>
            <w:top w:w="0" w:type="dxa"/>
            <w:left w:w="0" w:type="dxa"/>
            <w:bottom w:w="0" w:type="dxa"/>
            <w:right w:w="0" w:type="dxa"/>
          </w:tblCellMar>
        </w:tblPrEx>
        <w:trPr>
          <w:trHeight w:val="278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不锈钢双星水槽</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1.材质304不锈钢；尺寸1500*760*800mm；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2.台面板采用304不锈钢板厚度≥1.5mm，配厚度≥1.2mm不锈钢方管做加力筋；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3.星盆采用304不锈钢板，厚度≥1.5mm；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4.台脚采用Φ38mm厚度为≥1.5mm不锈钢圆通，横Φ25*1.5mm不锈钢圆管，配可调不锈钢子弹脚；</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5.水槽底部承受≥100KG载荷，其变形量≤0.30mm；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6.可调节脚配PVC硬管S存水弯去水,弯头配检查口，配不锈钢下水器带盖，配铜芯不锈钢水龙头、上下水管（不锈钢外壳、管子可伸缩）及下水孔堵头连接至排水口。</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13</w:t>
            </w:r>
          </w:p>
        </w:tc>
      </w:tr>
      <w:tr>
        <w:tblPrEx>
          <w:tblCellMar>
            <w:top w:w="0" w:type="dxa"/>
            <w:left w:w="0" w:type="dxa"/>
            <w:bottom w:w="0" w:type="dxa"/>
            <w:right w:w="0" w:type="dxa"/>
          </w:tblCellMar>
        </w:tblPrEx>
        <w:trPr>
          <w:trHeight w:val="308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不锈钢双星水槽（加热水龙头）</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1.材质304不锈钢；尺寸1500*760*800mm；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2.台面板采用304不锈钢板厚度≥1.5mm，配厚度≥1.2mm不锈钢方管做加力筋；</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3.星盆采用304不锈钢板，厚度≥1.5mm；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4.台脚采用Φ38mm厚度为≥1.5mm不锈钢圆通，横撑φ25*1.5mm不锈钢圆管，配可调不锈钢子弹脚；                                         5.水槽底部承受≥100KG载荷，其变形量≤0.30mm；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6.可调节脚配PVC硬管S存水弯去水,弯头配检查口，配不锈钢下水器带盖，配铜芯不锈钢水龙头、上下水管（不锈钢外壳、管子可伸缩）及下水孔堵头连接至排水口；</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7.配加热水龙头。</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w:t>
            </w:r>
          </w:p>
        </w:tc>
      </w:tr>
      <w:tr>
        <w:tblPrEx>
          <w:tblCellMar>
            <w:top w:w="0" w:type="dxa"/>
            <w:left w:w="0" w:type="dxa"/>
            <w:bottom w:w="0" w:type="dxa"/>
            <w:right w:w="0" w:type="dxa"/>
          </w:tblCellMar>
        </w:tblPrEx>
        <w:trPr>
          <w:trHeight w:val="174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工具保管柜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2.尺寸：1210*460*1800mm；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3.柜身及层板厚度为1.2mm；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4.用1.2mm不锈钢板制作的V型板做加强筋；门面板为1.0mm厚，吊装式左右推拉门易于拆卸和卫生清理，带调节脚4个。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11</w:t>
            </w:r>
          </w:p>
        </w:tc>
      </w:tr>
      <w:tr>
        <w:tblPrEx>
          <w:tblCellMar>
            <w:top w:w="0" w:type="dxa"/>
            <w:left w:w="0" w:type="dxa"/>
            <w:bottom w:w="0" w:type="dxa"/>
            <w:right w:w="0" w:type="dxa"/>
          </w:tblCellMar>
        </w:tblPrEx>
        <w:trPr>
          <w:trHeight w:val="18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化学用品保管柜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2.尺寸：600*460*1800mm；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3.板材厚度2mm；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4.加强筋加固；</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5.其它材质304不锈钢1.2mm；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6.可调地脚、玻璃窗，配锁。</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9</w:t>
            </w:r>
          </w:p>
        </w:tc>
      </w:tr>
      <w:tr>
        <w:tblPrEx>
          <w:tblCellMar>
            <w:top w:w="0" w:type="dxa"/>
            <w:left w:w="0" w:type="dxa"/>
            <w:bottom w:w="0" w:type="dxa"/>
            <w:right w:w="0" w:type="dxa"/>
          </w:tblCellMar>
        </w:tblPrEx>
        <w:trPr>
          <w:trHeight w:val="16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清洁用品保管柜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numPr>
                <w:ilvl w:val="0"/>
                <w:numId w:val="0"/>
              </w:numPr>
              <w:rPr>
                <w:rFonts w:hint="eastAsia"/>
                <w:sz w:val="21"/>
                <w:szCs w:val="21"/>
                <w:lang w:val="en-US" w:eastAsia="zh-CN"/>
              </w:rPr>
            </w:pPr>
            <w:r>
              <w:rPr>
                <w:rFonts w:hint="eastAsia"/>
                <w:sz w:val="21"/>
                <w:szCs w:val="21"/>
                <w:lang w:val="en-US" w:eastAsia="zh-CN"/>
              </w:rPr>
              <w:t xml:space="preserve">1.材质304不锈钢；                                </w:t>
            </w:r>
            <w:r>
              <w:rPr>
                <w:rFonts w:hint="eastAsia"/>
                <w:sz w:val="21"/>
                <w:szCs w:val="21"/>
                <w:lang w:val="en-US" w:eastAsia="zh-CN"/>
              </w:rPr>
              <w:br w:type="textWrapping"/>
            </w:r>
            <w:r>
              <w:rPr>
                <w:rFonts w:hint="eastAsia"/>
                <w:sz w:val="21"/>
                <w:szCs w:val="21"/>
                <w:lang w:val="en-US" w:eastAsia="zh-CN"/>
              </w:rPr>
              <w:t>2.尺寸：1210*460*1800mm；</w:t>
            </w:r>
            <w:r>
              <w:rPr>
                <w:rFonts w:hint="eastAsia"/>
                <w:sz w:val="21"/>
                <w:szCs w:val="21"/>
                <w:lang w:val="en-US" w:eastAsia="zh-CN"/>
              </w:rPr>
              <w:br w:type="textWrapping"/>
            </w:r>
            <w:r>
              <w:rPr>
                <w:rFonts w:hint="eastAsia"/>
                <w:sz w:val="21"/>
                <w:szCs w:val="21"/>
                <w:lang w:val="en-US" w:eastAsia="zh-CN"/>
              </w:rPr>
              <w:t>3.柜身及层板厚度为1.2mm；</w:t>
            </w:r>
            <w:r>
              <w:rPr>
                <w:rFonts w:hint="eastAsia"/>
                <w:sz w:val="21"/>
                <w:szCs w:val="21"/>
                <w:lang w:val="en-US" w:eastAsia="zh-CN"/>
              </w:rPr>
              <w:br w:type="textWrapping"/>
            </w:r>
            <w:r>
              <w:rPr>
                <w:rFonts w:hint="eastAsia"/>
                <w:sz w:val="21"/>
                <w:szCs w:val="21"/>
                <w:lang w:val="en-US" w:eastAsia="zh-CN"/>
              </w:rPr>
              <w:t>4.用1.2mm不锈钢板制作的V型板做加强筋；门面板为1.0mm厚，吊装式左右推拉门易于拆卸和卫生清理，带调节脚4个，配锁；</w:t>
            </w:r>
          </w:p>
          <w:p>
            <w:pPr>
              <w:pStyle w:val="2"/>
              <w:numPr>
                <w:ilvl w:val="0"/>
                <w:numId w:val="0"/>
              </w:numPr>
              <w:rPr>
                <w:rFonts w:hint="default"/>
                <w:sz w:val="21"/>
                <w:szCs w:val="21"/>
                <w:lang w:val="en-US" w:eastAsia="zh-CN"/>
              </w:rPr>
            </w:pPr>
            <w:r>
              <w:rPr>
                <w:rFonts w:hint="eastAsia"/>
                <w:sz w:val="21"/>
                <w:szCs w:val="21"/>
                <w:lang w:val="en-US" w:eastAsia="zh-CN"/>
              </w:rPr>
              <w:t>5.每个柜子需配备清洁用品：无柄手刷、圆柄手刷、短柄手刷、洗地刷、管刷、硬毛绞肉机用刷、洗盘刷、撮子、洗罐（锅）刷、百洁托板、可转角单片橡胶刮，每个工具各3个，按红、黄、蓝区分工具颜色。</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10</w:t>
            </w:r>
          </w:p>
        </w:tc>
      </w:tr>
      <w:tr>
        <w:tblPrEx>
          <w:tblCellMar>
            <w:top w:w="0" w:type="dxa"/>
            <w:left w:w="0" w:type="dxa"/>
            <w:bottom w:w="0" w:type="dxa"/>
            <w:right w:w="0" w:type="dxa"/>
          </w:tblCellMar>
        </w:tblPrEx>
        <w:trPr>
          <w:trHeight w:val="172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添加剂保管柜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2.尺寸：600*460*1800mm；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3.柜身及层板厚度为1.2mm；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4.用1.2mm不锈钢板制作的V型板做加强筋；门面板为1.0mm厚，吊装式左右推拉门易于拆卸和卫生清理，带调节脚4个；不锈钢带锁。</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w:t>
            </w:r>
          </w:p>
        </w:tc>
      </w:tr>
      <w:tr>
        <w:tblPrEx>
          <w:tblCellMar>
            <w:top w:w="0" w:type="dxa"/>
            <w:left w:w="0" w:type="dxa"/>
            <w:bottom w:w="0" w:type="dxa"/>
            <w:right w:w="0" w:type="dxa"/>
          </w:tblCellMar>
        </w:tblPrEx>
        <w:trPr>
          <w:trHeight w:val="180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添加剂柜</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 xml:space="preserve">1.材质304不锈钢；                                </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2.尺寸：1500*460*1800mm；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3.柜身及层板厚度为1.2mm；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4.用1.2mm不锈钢板制作的V型板做加强筋；门面板为1.0mm厚，吊装式左右推拉门易于拆卸和卫生清理，带调节脚4个；不锈钢带锁。</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w:t>
            </w:r>
          </w:p>
        </w:tc>
      </w:tr>
      <w:tr>
        <w:tblPrEx>
          <w:tblCellMar>
            <w:top w:w="0" w:type="dxa"/>
            <w:left w:w="0" w:type="dxa"/>
            <w:bottom w:w="0" w:type="dxa"/>
            <w:right w:w="0" w:type="dxa"/>
          </w:tblCellMar>
        </w:tblPrEx>
        <w:trPr>
          <w:trHeight w:val="3629"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挡鼠板</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1.挡板高度500mm；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2.材质304不锈钢；</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3.数量按平米计算；1m门共7个，1.8m门共9个；需到现场测量尺寸；</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4.挡板四框25mm方管包边；</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5.挡板顶部增加胶条；</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6.安装时两侧有固定凹型框，防鼠板可以自由抽出。</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13</w:t>
            </w:r>
          </w:p>
        </w:tc>
      </w:tr>
      <w:tr>
        <w:tblPrEx>
          <w:tblCellMar>
            <w:top w:w="0" w:type="dxa"/>
            <w:left w:w="0" w:type="dxa"/>
            <w:bottom w:w="0" w:type="dxa"/>
            <w:right w:w="0" w:type="dxa"/>
          </w:tblCellMar>
        </w:tblPrEx>
        <w:trPr>
          <w:trHeight w:val="90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灭蝇灯</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1.粘捕式灭蝇灯；电源220v；安装离地高度1800mm</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2.需自行引线、安装、配置电源开关；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17</w:t>
            </w:r>
          </w:p>
        </w:tc>
      </w:tr>
      <w:tr>
        <w:tblPrEx>
          <w:tblCellMar>
            <w:top w:w="0" w:type="dxa"/>
            <w:left w:w="0" w:type="dxa"/>
            <w:bottom w:w="0" w:type="dxa"/>
            <w:right w:w="0" w:type="dxa"/>
          </w:tblCellMar>
        </w:tblPrEx>
        <w:trPr>
          <w:trHeight w:val="605"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风幕</w:t>
            </w:r>
          </w:p>
        </w:tc>
        <w:tc>
          <w:tcPr>
            <w:tcW w:w="6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1"/>
                <w:szCs w:val="21"/>
                <w:u w:val="none"/>
                <w:lang w:val="en-US"/>
              </w:rPr>
            </w:pPr>
            <w:r>
              <w:rPr>
                <w:rFonts w:hint="eastAsia" w:ascii="微软雅黑" w:hAnsi="微软雅黑" w:eastAsia="微软雅黑" w:cs="微软雅黑"/>
                <w:i w:val="0"/>
                <w:color w:val="000000"/>
                <w:kern w:val="0"/>
                <w:sz w:val="21"/>
                <w:szCs w:val="21"/>
                <w:u w:val="none"/>
                <w:lang w:val="en-US" w:eastAsia="zh-CN" w:bidi="ar"/>
              </w:rPr>
              <w:t>1.要求设备为自动感应式；人来开启，人走关闭；</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2.1米门设置1个；1.8米门设置2个；</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3.风量：大于6m/s；</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4.需自行引线配置电源开关；</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5.尺寸要求：长*宽900*290mm。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26</w:t>
            </w:r>
          </w:p>
        </w:tc>
      </w:tr>
    </w:tbl>
    <w:p>
      <w:pPr>
        <w:keepNext w:val="0"/>
        <w:keepLines w:val="0"/>
        <w:widowControl/>
        <w:suppressLineNumbers w:val="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p>
      <w:pPr>
        <w:pStyle w:val="4"/>
        <w:rPr>
          <w:rFonts w:hint="eastAsia" w:ascii="微软雅黑" w:hAnsi="微软雅黑" w:eastAsia="微软雅黑"/>
          <w:color w:val="auto"/>
          <w:sz w:val="28"/>
          <w:szCs w:val="28"/>
          <w:highlight w:val="none"/>
          <w:shd w:val="clear" w:color="auto" w:fill="FFFFFF" w:themeFill="background1"/>
        </w:rPr>
      </w:pPr>
      <w:bookmarkStart w:id="60" w:name="_Toc516486656"/>
      <w:bookmarkStart w:id="61" w:name="_Toc527105180"/>
      <w:bookmarkStart w:id="62" w:name="_Toc526784169"/>
      <w:bookmarkStart w:id="63" w:name="_Toc27296"/>
      <w:r>
        <w:rPr>
          <w:rFonts w:hint="eastAsia" w:ascii="微软雅黑" w:hAnsi="微软雅黑" w:eastAsia="微软雅黑"/>
          <w:color w:val="auto"/>
          <w:sz w:val="28"/>
          <w:szCs w:val="28"/>
          <w:highlight w:val="none"/>
          <w:shd w:val="clear" w:color="auto" w:fill="FFFFFF" w:themeFill="background1"/>
        </w:rPr>
        <w:t>3.2</w:t>
      </w:r>
      <w:bookmarkEnd w:id="60"/>
      <w:bookmarkEnd w:id="61"/>
      <w:bookmarkEnd w:id="62"/>
      <w:r>
        <w:rPr>
          <w:rFonts w:hint="eastAsia" w:ascii="微软雅黑" w:hAnsi="微软雅黑" w:eastAsia="微软雅黑"/>
          <w:color w:val="auto"/>
          <w:sz w:val="28"/>
          <w:szCs w:val="28"/>
          <w:highlight w:val="none"/>
          <w:shd w:val="clear" w:color="auto" w:fill="FFFFFF" w:themeFill="background1"/>
        </w:rPr>
        <w:t>商品报价要求及服务要求</w:t>
      </w:r>
      <w:bookmarkEnd w:id="63"/>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4" w:name="_Toc21659"/>
      <w:r>
        <w:rPr>
          <w:rFonts w:hint="eastAsia" w:ascii="微软雅黑" w:hAnsi="微软雅黑" w:eastAsia="微软雅黑" w:cs="Times New Roman"/>
          <w:color w:val="auto"/>
          <w:sz w:val="24"/>
          <w:szCs w:val="24"/>
          <w:highlight w:val="none"/>
          <w:shd w:val="clear" w:color="auto" w:fill="FFFFFF" w:themeFill="background1"/>
          <w:lang w:val="en-US" w:eastAsia="zh-CN"/>
        </w:rPr>
        <w:t>3.2.1设备要求</w:t>
      </w:r>
      <w:bookmarkEnd w:id="64"/>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符合国家其他相关规范和标准。</w:t>
      </w:r>
    </w:p>
    <w:p>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包括并不限于</w:t>
      </w:r>
      <w:r>
        <w:rPr>
          <w:rFonts w:hint="eastAsia" w:ascii="微软雅黑" w:hAnsi="微软雅黑" w:eastAsia="微软雅黑" w:cs="Times New Roman"/>
          <w:color w:val="auto"/>
          <w:szCs w:val="21"/>
          <w:highlight w:val="none"/>
          <w:shd w:val="clear" w:color="auto" w:fill="FFFFFF" w:themeFill="background1"/>
          <w:lang w:val="en-US" w:eastAsia="zh-CN"/>
        </w:rPr>
        <w:t>不锈钢设备</w:t>
      </w:r>
      <w:r>
        <w:rPr>
          <w:rFonts w:hint="eastAsia" w:ascii="微软雅黑" w:hAnsi="微软雅黑" w:eastAsia="微软雅黑" w:cs="Times New Roman"/>
          <w:color w:val="auto"/>
          <w:szCs w:val="21"/>
          <w:highlight w:val="none"/>
          <w:shd w:val="clear" w:color="auto" w:fill="FFFFFF" w:themeFill="background1"/>
        </w:rPr>
        <w:t>的设计、加工制作、包装、运输、现场装卸、二次搬运、现场安装、</w:t>
      </w:r>
      <w:r>
        <w:rPr>
          <w:rFonts w:hint="eastAsia" w:ascii="微软雅黑" w:hAnsi="微软雅黑" w:eastAsia="微软雅黑" w:cs="Times New Roman"/>
          <w:color w:val="auto"/>
          <w:szCs w:val="21"/>
          <w:highlight w:val="none"/>
          <w:shd w:val="clear" w:color="auto" w:fill="FFFFFF" w:themeFill="background1"/>
          <w:lang w:val="en-US" w:eastAsia="zh-CN"/>
        </w:rPr>
        <w:t>调试</w:t>
      </w:r>
      <w:r>
        <w:rPr>
          <w:rFonts w:hint="eastAsia" w:ascii="微软雅黑" w:hAnsi="微软雅黑" w:eastAsia="微软雅黑" w:cs="Times New Roman"/>
          <w:color w:val="auto"/>
          <w:szCs w:val="21"/>
          <w:highlight w:val="none"/>
          <w:shd w:val="clear" w:color="auto" w:fill="FFFFFF" w:themeFill="background1"/>
        </w:rPr>
        <w:t>、试运行安装及其他人员的食宿差旅费等交付</w:t>
      </w:r>
      <w:r>
        <w:rPr>
          <w:rFonts w:hint="eastAsia" w:ascii="微软雅黑" w:hAnsi="微软雅黑" w:eastAsia="微软雅黑" w:cs="Times New Roman"/>
          <w:color w:val="auto"/>
          <w:szCs w:val="21"/>
          <w:highlight w:val="none"/>
          <w:shd w:val="clear" w:color="auto" w:fill="FFFFFF" w:themeFill="background1"/>
          <w:lang w:eastAsia="zh-CN"/>
        </w:rPr>
        <w:t>招标</w:t>
      </w:r>
      <w:r>
        <w:rPr>
          <w:rFonts w:hint="eastAsia" w:ascii="微软雅黑" w:hAnsi="微软雅黑" w:eastAsia="微软雅黑" w:cs="Times New Roman"/>
          <w:color w:val="auto"/>
          <w:szCs w:val="21"/>
          <w:highlight w:val="none"/>
          <w:shd w:val="clear" w:color="auto" w:fill="FFFFFF" w:themeFill="background1"/>
        </w:rPr>
        <w:t>方使用前的所有费用。</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到厂的安装辅材视为投标方所有，随合同约定整套设备运行验收合格后，经现场项目负责人同意，随安装人员退场。</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5" w:name="_Toc19303"/>
      <w:r>
        <w:rPr>
          <w:rFonts w:hint="eastAsia" w:ascii="微软雅黑" w:hAnsi="微软雅黑" w:eastAsia="微软雅黑" w:cs="Times New Roman"/>
          <w:color w:val="auto"/>
          <w:sz w:val="24"/>
          <w:szCs w:val="24"/>
          <w:highlight w:val="none"/>
          <w:shd w:val="clear" w:color="auto" w:fill="FFFFFF" w:themeFill="background1"/>
          <w:lang w:val="en-US" w:eastAsia="zh-CN"/>
        </w:rPr>
        <w:t>3.2.2 售后服务</w:t>
      </w:r>
      <w:bookmarkEnd w:id="65"/>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 xml:space="preserve">A. </w:t>
      </w:r>
      <w:r>
        <w:rPr>
          <w:rFonts w:hint="eastAsia" w:ascii="微软雅黑" w:hAnsi="微软雅黑" w:eastAsia="微软雅黑" w:cs="Times New Roman"/>
          <w:color w:val="auto"/>
          <w:szCs w:val="21"/>
          <w:highlight w:val="none"/>
          <w:shd w:val="clear" w:color="auto" w:fill="FFFFFF" w:themeFill="background1"/>
        </w:rPr>
        <w:t>设备提供</w:t>
      </w:r>
      <w:r>
        <w:rPr>
          <w:rFonts w:hint="eastAsia" w:ascii="微软雅黑" w:hAnsi="微软雅黑" w:eastAsia="微软雅黑" w:cs="Times New Roman"/>
          <w:color w:val="auto"/>
          <w:szCs w:val="21"/>
          <w:highlight w:val="none"/>
          <w:shd w:val="clear" w:color="auto" w:fill="FFFFFF" w:themeFill="background1"/>
          <w:lang w:val="en-US" w:eastAsia="zh-CN"/>
        </w:rPr>
        <w:t>24个月</w:t>
      </w:r>
      <w:r>
        <w:rPr>
          <w:rFonts w:hint="eastAsia" w:ascii="微软雅黑" w:hAnsi="微软雅黑" w:eastAsia="微软雅黑" w:cs="Times New Roman"/>
          <w:color w:val="auto"/>
          <w:szCs w:val="21"/>
          <w:highlight w:val="none"/>
          <w:shd w:val="clear" w:color="auto" w:fill="FFFFFF" w:themeFill="background1"/>
        </w:rPr>
        <w:t>的免费质保，质保期自招标方签发《设备安装调试验收合格单》之日起算，质保期内整机包修。用户按照货物使用说明书，在正常条件下使用，如发生设备故障或配件（除消耗品）损坏，投标方需免费维修、更换配件。</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货物调试结束后，中标人应立即派有经验的工作人员对使用人员进行操作和日常管理与维护的培训，并确保采购人参与培训的人员能独立、熟练使用和日常维护保养。</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C.质量承诺</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a.所提供设备满足贵公司使用的要求，在保证设备满足所提供技术文件质量指标的前提下，保证设备的安全性、可靠性、稳定性。</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rPr>
      </w:pPr>
      <w:r>
        <w:rPr>
          <w:rFonts w:hint="eastAsia" w:ascii="微软雅黑" w:hAnsi="微软雅黑" w:eastAsia="微软雅黑" w:cs="Times New Roman"/>
          <w:color w:val="auto"/>
          <w:szCs w:val="21"/>
          <w:highlight w:val="none"/>
          <w:shd w:val="clear" w:color="auto" w:fill="FFFFFF" w:themeFill="background1"/>
          <w:lang w:val="en-US" w:eastAsia="zh-CN"/>
        </w:rPr>
        <w:t>b.供方向需方保证：如因设计、制造上的缺陷和材料上的不良而使设备发生故障，供方为需方免费修理并更换新损坏零件，期限为设备安装验收后24个月保修期内。</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6" w:name="_Toc5239"/>
      <w:r>
        <w:rPr>
          <w:rFonts w:hint="eastAsia" w:ascii="微软雅黑" w:hAnsi="微软雅黑" w:eastAsia="微软雅黑" w:cs="Times New Roman"/>
          <w:color w:val="auto"/>
          <w:sz w:val="24"/>
          <w:szCs w:val="24"/>
          <w:highlight w:val="none"/>
          <w:shd w:val="clear" w:color="auto" w:fill="FFFFFF" w:themeFill="background1"/>
          <w:lang w:val="en-US" w:eastAsia="zh-CN"/>
        </w:rPr>
        <w:t>3.2.3供货要求</w:t>
      </w:r>
      <w:bookmarkEnd w:id="66"/>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提供的所有产品及零配件必须是正厂出品、配套且全新的</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必须是原装出厂成套设备（符合中国相关“三包”规定</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进口</w:t>
      </w:r>
      <w:r>
        <w:rPr>
          <w:rFonts w:hint="eastAsia" w:ascii="微软雅黑" w:hAnsi="微软雅黑" w:eastAsia="微软雅黑" w:cs="Times New Roman"/>
          <w:color w:val="auto"/>
          <w:szCs w:val="21"/>
          <w:highlight w:val="none"/>
          <w:shd w:val="clear" w:color="auto" w:fill="FFFFFF" w:themeFill="background1"/>
          <w:lang w:val="en-US" w:eastAsia="zh-CN"/>
        </w:rPr>
        <w:t>材料</w:t>
      </w:r>
      <w:r>
        <w:rPr>
          <w:rFonts w:hint="eastAsia" w:ascii="微软雅黑" w:hAnsi="微软雅黑" w:eastAsia="微软雅黑" w:cs="Times New Roman"/>
          <w:color w:val="auto"/>
          <w:szCs w:val="21"/>
          <w:highlight w:val="none"/>
          <w:shd w:val="clear" w:color="auto" w:fill="FFFFFF" w:themeFill="background1"/>
        </w:rPr>
        <w:t>必须附中文说明书</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所投设备必须</w:t>
      </w:r>
      <w:r>
        <w:rPr>
          <w:rFonts w:hint="eastAsia" w:ascii="微软雅黑" w:hAnsi="微软雅黑" w:eastAsia="微软雅黑" w:cs="Times New Roman"/>
          <w:color w:val="auto"/>
          <w:szCs w:val="21"/>
          <w:highlight w:val="none"/>
          <w:shd w:val="clear" w:color="auto" w:fill="FFFFFF" w:themeFill="background1"/>
          <w:lang w:val="en-US" w:eastAsia="zh-CN"/>
        </w:rPr>
        <w:t>有国家相关部门颁发的产品生产许可证；</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E.</w:t>
      </w:r>
      <w:r>
        <w:rPr>
          <w:rFonts w:hint="eastAsia" w:ascii="微软雅黑" w:hAnsi="微软雅黑" w:eastAsia="微软雅黑" w:cs="Times New Roman"/>
          <w:color w:val="auto"/>
          <w:szCs w:val="21"/>
          <w:highlight w:val="none"/>
          <w:shd w:val="clear" w:color="auto" w:fill="FFFFFF" w:themeFill="background1"/>
        </w:rPr>
        <w:t>投标方必须提供设备配件清单，列明单价、品牌、型号等信息，按照《附件：设备配件清单》填写；</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F.</w:t>
      </w:r>
      <w:r>
        <w:rPr>
          <w:rFonts w:hint="eastAsia" w:ascii="微软雅黑" w:hAnsi="微软雅黑" w:eastAsia="微软雅黑" w:cs="Times New Roman"/>
          <w:color w:val="auto"/>
          <w:szCs w:val="21"/>
          <w:highlight w:val="none"/>
          <w:shd w:val="clear" w:color="auto" w:fill="FFFFFF" w:themeFill="background1"/>
        </w:rPr>
        <w:t>投标方必须提供设备消耗品清单，列明单价、使用寿命、品牌、型号等信息，按照《附件设备消耗品清单》填写；</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G.</w:t>
      </w:r>
      <w:r>
        <w:rPr>
          <w:rFonts w:hint="eastAsia" w:ascii="微软雅黑" w:hAnsi="微软雅黑" w:eastAsia="微软雅黑" w:cs="Times New Roman"/>
          <w:color w:val="auto"/>
          <w:szCs w:val="21"/>
          <w:highlight w:val="none"/>
          <w:shd w:val="clear" w:color="auto" w:fill="FFFFFF" w:themeFill="background1"/>
        </w:rPr>
        <w:t>投标方要保证及时供应设备日常运转、维修所需配件和消耗品，并保证以最优惠价供应。</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7" w:name="_Toc3551"/>
      <w:r>
        <w:rPr>
          <w:rFonts w:hint="eastAsia" w:ascii="微软雅黑" w:hAnsi="微软雅黑" w:eastAsia="微软雅黑" w:cs="Times New Roman"/>
          <w:color w:val="auto"/>
          <w:sz w:val="24"/>
          <w:szCs w:val="24"/>
          <w:highlight w:val="none"/>
          <w:shd w:val="clear" w:color="auto" w:fill="FFFFFF" w:themeFill="background1"/>
          <w:lang w:val="en-US" w:eastAsia="zh-CN"/>
        </w:rPr>
        <w:t>3.2.4 培训服务</w:t>
      </w:r>
      <w:bookmarkEnd w:id="67"/>
    </w:p>
    <w:p>
      <w:pPr>
        <w:snapToGrid w:val="0"/>
        <w:spacing w:line="480" w:lineRule="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投标人须在投标文件中提供详细的培训计划，包括培训内容、培训时间等。</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中标人提供的负责培训的人员应具备同类设备</w:t>
      </w:r>
      <w:r>
        <w:rPr>
          <w:rFonts w:hint="eastAsia" w:ascii="微软雅黑" w:hAnsi="微软雅黑" w:eastAsia="微软雅黑" w:cs="Times New Roman"/>
          <w:color w:val="auto"/>
          <w:szCs w:val="21"/>
          <w:highlight w:val="none"/>
          <w:shd w:val="clear" w:color="auto" w:fill="FFFFFF" w:themeFill="background1"/>
          <w:lang w:eastAsia="zh-CN"/>
        </w:rPr>
        <w:t>三</w:t>
      </w:r>
      <w:r>
        <w:rPr>
          <w:rFonts w:hint="eastAsia" w:ascii="微软雅黑" w:hAnsi="微软雅黑" w:eastAsia="微软雅黑" w:cs="Times New Roman"/>
          <w:color w:val="auto"/>
          <w:szCs w:val="21"/>
          <w:highlight w:val="none"/>
          <w:shd w:val="clear" w:color="auto" w:fill="FFFFFF" w:themeFill="background1"/>
        </w:rPr>
        <w:t>年以上的经验。</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 xml:space="preserve">技术培训费用应包含在投标总价中。 </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技术培训至少应包括下列内容：</w:t>
      </w:r>
    </w:p>
    <w:p>
      <w:pPr>
        <w:numPr>
          <w:ilvl w:val="0"/>
          <w:numId w:val="0"/>
        </w:numPr>
        <w:snapToGrid w:val="0"/>
        <w:spacing w:line="480" w:lineRule="auto"/>
        <w:ind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原理、构成和功能的描述。</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常见故障的处理或排除。</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各系统部件（设备）的检查、调整和维护。</w:t>
      </w:r>
    </w:p>
    <w:p>
      <w:pPr>
        <w:numPr>
          <w:ilvl w:val="0"/>
          <w:numId w:val="0"/>
        </w:numPr>
        <w:snapToGrid w:val="0"/>
        <w:spacing w:line="480" w:lineRule="auto"/>
        <w:ind w:leftChars="0"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对使用者关于设备基本操作技能的培训。</w:t>
      </w:r>
    </w:p>
    <w:p>
      <w:pPr>
        <w:spacing w:line="500" w:lineRule="exact"/>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特别提示：</w:t>
      </w:r>
    </w:p>
    <w:p>
      <w:pPr>
        <w:spacing w:line="500" w:lineRule="exact"/>
        <w:ind w:firstLine="471" w:firstLineChars="196"/>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如有对上述技术要求、交货期限、售后服务、配件供应等有不同意见，必须在“差异表”中注明,经招标方讨论后，双方现场确认，并签署证明文件，否则均按照该标书条款执行。本项目商务及技术都不允许负偏离，只允许正偏离。</w:t>
      </w:r>
    </w:p>
    <w:p>
      <w:pPr>
        <w:pStyle w:val="2"/>
        <w:rPr>
          <w:rFonts w:hint="eastAsia" w:ascii="微软雅黑" w:hAnsi="微软雅黑" w:eastAsia="微软雅黑" w:cs="Times New Roman"/>
          <w:color w:val="auto"/>
          <w:szCs w:val="21"/>
          <w:highlight w:val="none"/>
          <w:shd w:val="clear" w:color="auto" w:fill="FFFFFF" w:themeFill="background1"/>
        </w:rPr>
      </w:pPr>
    </w:p>
    <w:p>
      <w:pPr>
        <w:pStyle w:val="2"/>
        <w:rPr>
          <w:rFonts w:hint="eastAsia" w:ascii="微软雅黑" w:hAnsi="微软雅黑" w:eastAsia="微软雅黑" w:cs="Times New Roman"/>
          <w:color w:val="auto"/>
          <w:szCs w:val="21"/>
          <w:highlight w:val="none"/>
          <w:shd w:val="clear" w:color="auto" w:fill="FFFFFF" w:themeFill="background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rPr>
          <w:rFonts w:hint="default"/>
          <w:color w:val="auto"/>
          <w:highlight w:val="none"/>
          <w:lang w:val="en-US" w:eastAsia="zh-CN"/>
        </w:rPr>
      </w:pPr>
    </w:p>
    <w:p>
      <w:pPr>
        <w:pStyle w:val="3"/>
        <w:rPr>
          <w:rFonts w:hint="eastAsia" w:ascii="微软雅黑" w:hAnsi="微软雅黑" w:eastAsia="微软雅黑" w:cs="Times New Roman"/>
          <w:color w:val="auto"/>
          <w:sz w:val="32"/>
          <w:szCs w:val="32"/>
          <w:highlight w:val="none"/>
          <w:shd w:val="clear" w:color="auto" w:fill="FFFFFF" w:themeFill="background1"/>
        </w:rPr>
      </w:pPr>
      <w:bookmarkStart w:id="68" w:name="_Toc19726"/>
      <w:r>
        <w:rPr>
          <w:rFonts w:hint="eastAsia" w:ascii="微软雅黑" w:hAnsi="微软雅黑" w:eastAsia="微软雅黑" w:cs="Times New Roman"/>
          <w:color w:val="auto"/>
          <w:sz w:val="32"/>
          <w:szCs w:val="32"/>
          <w:highlight w:val="none"/>
          <w:shd w:val="clear" w:color="auto" w:fill="FFFFFF" w:themeFill="background1"/>
        </w:rPr>
        <w:t>4</w:t>
      </w:r>
      <w:r>
        <w:rPr>
          <w:rFonts w:hint="eastAsia" w:ascii="微软雅黑" w:hAnsi="微软雅黑" w:eastAsia="微软雅黑" w:cs="Times New Roman"/>
          <w:color w:val="auto"/>
          <w:sz w:val="32"/>
          <w:szCs w:val="32"/>
          <w:highlight w:val="none"/>
          <w:shd w:val="clear" w:color="auto" w:fill="FFFFFF" w:themeFill="background1"/>
          <w:lang w:eastAsia="zh-CN"/>
        </w:rPr>
        <w:t>.</w:t>
      </w:r>
      <w:r>
        <w:rPr>
          <w:rFonts w:hint="eastAsia" w:ascii="微软雅黑" w:hAnsi="微软雅黑" w:eastAsia="微软雅黑" w:cs="Times New Roman"/>
          <w:color w:val="auto"/>
          <w:sz w:val="32"/>
          <w:szCs w:val="32"/>
          <w:highlight w:val="none"/>
          <w:shd w:val="clear" w:color="auto" w:fill="FFFFFF" w:themeFill="background1"/>
        </w:rPr>
        <w:t>评标标准</w:t>
      </w:r>
      <w:bookmarkEnd w:id="68"/>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本次评标采用</w:t>
      </w:r>
      <w:r>
        <w:rPr>
          <w:rFonts w:hint="eastAsia" w:ascii="微软雅黑" w:hAnsi="微软雅黑" w:eastAsia="微软雅黑" w:cs="Times New Roman"/>
          <w:color w:val="auto"/>
          <w:szCs w:val="21"/>
          <w:highlight w:val="none"/>
          <w:shd w:val="clear" w:color="auto" w:fill="FFFFFF" w:themeFill="background1"/>
          <w:lang w:val="en-US" w:eastAsia="zh-CN"/>
        </w:rPr>
        <w:t>百分制</w:t>
      </w:r>
      <w:r>
        <w:rPr>
          <w:rFonts w:hint="eastAsia" w:ascii="微软雅黑" w:hAnsi="微软雅黑" w:eastAsia="微软雅黑" w:cs="Times New Roman"/>
          <w:color w:val="auto"/>
          <w:szCs w:val="21"/>
          <w:highlight w:val="none"/>
          <w:shd w:val="clear" w:color="auto" w:fill="FFFFFF" w:themeFill="background1"/>
        </w:rPr>
        <w:t>综合评估法。评标委员会首先进行初步评审，然后通过初步评审表对投标文件进行评审，然后对报价、技术标进行详细评审。按照招标文件规定的评分标准进行打分，并按得分由高到低顺序推荐中标候选人。综合评分相等时，以投标报价低的优先；投标报价也相等的，以技术得分高的优先；如果技术得分也相等，由评标委员会确定中标候选人顺序。</w:t>
      </w:r>
    </w:p>
    <w:p>
      <w:pPr>
        <w:snapToGrid w:val="0"/>
        <w:spacing w:line="480" w:lineRule="auto"/>
        <w:ind w:firstLine="420" w:firstLineChars="20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rPr>
        <w:t>评标指标设置为报价、技术</w:t>
      </w:r>
      <w:r>
        <w:rPr>
          <w:rFonts w:hint="eastAsia" w:ascii="微软雅黑" w:hAnsi="微软雅黑" w:eastAsia="微软雅黑" w:cs="Times New Roman"/>
          <w:color w:val="auto"/>
          <w:szCs w:val="21"/>
          <w:highlight w:val="none"/>
          <w:shd w:val="clear" w:color="auto" w:fill="FFFFFF" w:themeFill="background1"/>
          <w:lang w:eastAsia="zh-CN"/>
        </w:rPr>
        <w:t>两</w:t>
      </w:r>
      <w:r>
        <w:rPr>
          <w:rFonts w:hint="eastAsia" w:ascii="微软雅黑" w:hAnsi="微软雅黑" w:eastAsia="微软雅黑" w:cs="Times New Roman"/>
          <w:color w:val="auto"/>
          <w:szCs w:val="21"/>
          <w:highlight w:val="none"/>
          <w:shd w:val="clear" w:color="auto" w:fill="FFFFFF" w:themeFill="background1"/>
        </w:rPr>
        <w:t>大部分。其中报价部分</w:t>
      </w:r>
      <w:r>
        <w:rPr>
          <w:rFonts w:hint="eastAsia" w:ascii="微软雅黑" w:hAnsi="微软雅黑" w:eastAsia="微软雅黑" w:cs="Times New Roman"/>
          <w:color w:val="auto"/>
          <w:szCs w:val="21"/>
          <w:highlight w:val="none"/>
          <w:shd w:val="clear" w:color="auto" w:fill="FFFFFF" w:themeFill="background1"/>
          <w:lang w:val="en-US" w:eastAsia="zh-CN"/>
        </w:rPr>
        <w:t>70分，技术部分30分。</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对所有投标人的投标评估，都采用相同的程序和标准。</w:t>
      </w:r>
    </w:p>
    <w:p>
      <w:pPr>
        <w:pStyle w:val="4"/>
        <w:rPr>
          <w:rFonts w:hint="eastAsia" w:ascii="微软雅黑" w:hAnsi="微软雅黑" w:eastAsia="微软雅黑"/>
          <w:color w:val="auto"/>
          <w:sz w:val="28"/>
          <w:szCs w:val="28"/>
          <w:highlight w:val="none"/>
          <w:shd w:val="clear" w:color="auto" w:fill="FFFFFF" w:themeFill="background1"/>
        </w:rPr>
      </w:pPr>
      <w:bookmarkStart w:id="69" w:name="_Toc8738464"/>
      <w:bookmarkStart w:id="70" w:name="_Toc532479427"/>
      <w:bookmarkStart w:id="71" w:name="_Toc20924"/>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1评标程序</w:t>
      </w:r>
      <w:bookmarkEnd w:id="69"/>
      <w:bookmarkEnd w:id="70"/>
      <w:bookmarkEnd w:id="71"/>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2" w:name="_Toc31240"/>
      <w:bookmarkStart w:id="73" w:name="_Toc28588"/>
      <w:bookmarkStart w:id="74" w:name="_Toc8738465"/>
      <w:r>
        <w:rPr>
          <w:rFonts w:hint="eastAsia" w:ascii="微软雅黑" w:hAnsi="微软雅黑" w:eastAsia="微软雅黑" w:cs="Times New Roman"/>
          <w:color w:val="auto"/>
          <w:sz w:val="24"/>
          <w:szCs w:val="24"/>
          <w:highlight w:val="none"/>
          <w:shd w:val="clear" w:color="auto" w:fill="FFFFFF" w:themeFill="background1"/>
          <w:lang w:val="en-US" w:eastAsia="zh-CN"/>
        </w:rPr>
        <w:t>4.1.1初步评审</w:t>
      </w:r>
      <w:bookmarkEnd w:id="72"/>
      <w:bookmarkEnd w:id="73"/>
      <w:bookmarkEnd w:id="74"/>
    </w:p>
    <w:p>
      <w:pPr>
        <w:numPr>
          <w:ilvl w:val="0"/>
          <w:numId w:val="0"/>
        </w:num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评标委员会依据初审表规定的标准对所有投标人的投标文件进行初步评审。 1、以</w:t>
      </w:r>
      <w:r>
        <w:rPr>
          <w:rFonts w:hint="eastAsia" w:ascii="微软雅黑" w:hAnsi="微软雅黑" w:eastAsia="微软雅黑" w:cs="Times New Roman"/>
          <w:color w:val="auto"/>
          <w:szCs w:val="21"/>
          <w:highlight w:val="none"/>
          <w:shd w:val="clear" w:color="auto" w:fill="FFFFFF" w:themeFill="background1"/>
          <w:lang w:eastAsia="zh-CN"/>
        </w:rPr>
        <w:t>下</w:t>
      </w:r>
      <w:r>
        <w:rPr>
          <w:rFonts w:hint="eastAsia" w:ascii="微软雅黑" w:hAnsi="微软雅黑" w:eastAsia="微软雅黑" w:cs="Times New Roman"/>
          <w:color w:val="auto"/>
          <w:szCs w:val="21"/>
          <w:highlight w:val="none"/>
          <w:shd w:val="clear" w:color="auto" w:fill="FFFFFF" w:themeFill="background1"/>
        </w:rPr>
        <w:t>资格审查表内容为必要合格条件，其中任意一项不符合即为不通过，不能进行后续评审。2、正在办理变更或换证等手续的需要附相关部门的证明文件扫描件。</w:t>
      </w:r>
    </w:p>
    <w:p>
      <w:pPr>
        <w:rPr>
          <w:rFonts w:hint="eastAsia"/>
          <w:color w:val="auto"/>
          <w:highlight w:val="none"/>
        </w:rPr>
      </w:pPr>
    </w:p>
    <w:tbl>
      <w:tblPr>
        <w:tblStyle w:val="17"/>
        <w:tblW w:w="10754" w:type="dxa"/>
        <w:tblInd w:w="-1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253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exact"/>
        </w:trPr>
        <w:tc>
          <w:tcPr>
            <w:tcW w:w="886"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rPr>
            </w:pPr>
            <w:r>
              <w:rPr>
                <w:rStyle w:val="42"/>
                <w:rFonts w:hint="eastAsia" w:ascii="微软雅黑" w:hAnsi="微软雅黑" w:eastAsia="微软雅黑" w:cs="Times New Roman"/>
                <w:b/>
                <w:bCs/>
                <w:color w:val="auto"/>
                <w:kern w:val="0"/>
                <w:sz w:val="24"/>
                <w:highlight w:val="none"/>
                <w:shd w:val="clear" w:color="auto" w:fill="FFFFFF" w:themeFill="background1"/>
              </w:rPr>
              <w:t>序号</w:t>
            </w:r>
          </w:p>
        </w:tc>
        <w:tc>
          <w:tcPr>
            <w:tcW w:w="2535"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评审因素</w:t>
            </w:r>
          </w:p>
        </w:tc>
        <w:tc>
          <w:tcPr>
            <w:tcW w:w="7333"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exact"/>
        </w:trPr>
        <w:tc>
          <w:tcPr>
            <w:tcW w:w="886" w:type="dxa"/>
            <w:vAlign w:val="center"/>
          </w:tcPr>
          <w:p>
            <w:pPr>
              <w:pStyle w:val="45"/>
              <w:spacing w:before="5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1</w:t>
            </w:r>
          </w:p>
        </w:tc>
        <w:tc>
          <w:tcPr>
            <w:tcW w:w="2535" w:type="dxa"/>
            <w:vAlign w:val="center"/>
          </w:tcPr>
          <w:p>
            <w:pPr>
              <w:pStyle w:val="45"/>
              <w:spacing w:before="29"/>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营业执照</w:t>
            </w:r>
          </w:p>
        </w:tc>
        <w:tc>
          <w:tcPr>
            <w:tcW w:w="7333" w:type="dxa"/>
            <w:vAlign w:val="top"/>
          </w:tcPr>
          <w:p>
            <w:pPr>
              <w:pStyle w:val="45"/>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 xml:space="preserve">具备有效的营业执照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exact"/>
        </w:trPr>
        <w:tc>
          <w:tcPr>
            <w:tcW w:w="886" w:type="dxa"/>
            <w:vAlign w:val="center"/>
          </w:tcPr>
          <w:p>
            <w:pPr>
              <w:pStyle w:val="45"/>
              <w:spacing w:before="88"/>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2</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财务要求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投标人必须有良好的企业财务状况</w:t>
            </w:r>
          </w:p>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3</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信誉要求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投标人未被“信用中国”网站列入失信被执行人名单，查询日期以开标当日查询为准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4</w:t>
            </w:r>
          </w:p>
        </w:tc>
        <w:tc>
          <w:tcPr>
            <w:tcW w:w="2535" w:type="dxa"/>
            <w:vAlign w:val="center"/>
          </w:tcPr>
          <w:p>
            <w:pPr>
              <w:pStyle w:val="45"/>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法定代表人身份证明和法定代表人授权委托书</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符合招标文件要求</w:t>
            </w:r>
          </w:p>
        </w:tc>
      </w:tr>
    </w:tbl>
    <w:p>
      <w:pPr>
        <w:rPr>
          <w:rFonts w:ascii="微软雅黑" w:hAnsi="微软雅黑" w:eastAsia="微软雅黑"/>
          <w:color w:val="auto"/>
          <w:szCs w:val="21"/>
          <w:highlight w:val="none"/>
          <w:shd w:val="clear" w:color="auto" w:fill="FFFFFF" w:themeFill="background1"/>
        </w:rPr>
      </w:pPr>
    </w:p>
    <w:p>
      <w:pPr>
        <w:numPr>
          <w:ilvl w:val="0"/>
          <w:numId w:val="21"/>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投标人有以下情形之一的，评标委员会应当否决其投标：</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投标文件没有对招标文件的实质性要求和条件作出响应；</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有串通投标、弄虚作假、行贿等违法行为</w:t>
      </w:r>
      <w:r>
        <w:rPr>
          <w:rFonts w:hint="eastAsia" w:ascii="微软雅黑" w:hAnsi="微软雅黑" w:eastAsia="微软雅黑" w:cs="Times New Roman"/>
          <w:color w:val="auto"/>
          <w:szCs w:val="21"/>
          <w:highlight w:val="none"/>
          <w:shd w:val="clear" w:color="auto" w:fill="FFFFFF" w:themeFill="background1"/>
          <w:lang w:eastAsia="zh-CN"/>
        </w:rPr>
        <w:t>；</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投标文件无单位盖章、无法定代表人或其法定代表人授权代表签字或盖章的；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投标文件未按规定的格式填写，内容不全或关键字迹模糊、无法辨认的；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标人递交两份或多份内容不同的投标文件,或在一份投标文件中对同一招标货物报有两个或多个报价,且未声明哪一个为最终报价的；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未按招标文件要求提交投标保证金的；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在投标文件中有虚假文件和资料的；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投标人采取相互串标，排挤其他投标人的不公平竞争，损害招标人或其他投标人的合法权益的；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不同投标人的投标文件由同一单位或者个人编制的；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不同投标人委托同一单位或者个人办理投标事宜的；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不同投标人的投标文件载明的项目管理机构成员出现同一人的；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不同投标人委托同一人踏勘现场或投标的；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不同投标人的投标文件相互混装的；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不同投标人的投标保证金从同一单位或者个人的账户转出的；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按照法律、法规、规章和规范性文件规定的应当列入的其他情形；</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不符合招标文件规定的其他实质性要求的。</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5" w:name="_Toc12499"/>
      <w:bookmarkStart w:id="76" w:name="_Toc8738466"/>
      <w:bookmarkStart w:id="77" w:name="_Toc31201"/>
      <w:r>
        <w:rPr>
          <w:rFonts w:hint="eastAsia" w:ascii="微软雅黑" w:hAnsi="微软雅黑" w:eastAsia="微软雅黑" w:cs="Times New Roman"/>
          <w:color w:val="auto"/>
          <w:sz w:val="24"/>
          <w:szCs w:val="24"/>
          <w:highlight w:val="none"/>
          <w:shd w:val="clear" w:color="auto" w:fill="FFFFFF" w:themeFill="background1"/>
          <w:lang w:val="en-US" w:eastAsia="zh-CN"/>
        </w:rPr>
        <w:t>4.1.2详细评审</w:t>
      </w:r>
      <w:bookmarkEnd w:id="75"/>
      <w:bookmarkEnd w:id="76"/>
      <w:bookmarkEnd w:id="77"/>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评标委员会对技术标、报价，按评分表规定的量化因素和分值进行打分，并计算出综合评估得分排序。</w:t>
      </w: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发现投标人的报价明显低于其他投标报价，使得其投标报价可能低于其个别成本的，应当要求该投标人做出书面说明并提供相应的证明材料。投标人不能合理说明或者不能提供相应证明材料的，评标委员会应当认定该投标人以低于成本报价竞标，并否决其投标。</w:t>
      </w: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投标报价有算术错误及其他错误的，评标委员会按以下原则要求投标人对投标报价进行修正，并要求投标人书面澄清确认。投标人拒不澄清确认的，评标委员会应当否决其投标：</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投标文件中的大写金额与小写金额不一致的，以大写金额为准；</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总价金额与单价金额不一致的，以单价金额为准，但单价金额小数点有明显错误的除外；</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投标报价为各分项报价金额之和，投标报价与分项报价的合价不一致的，应以各分项合价累计数为准，修正投标报价；</w:t>
      </w:r>
    </w:p>
    <w:tbl>
      <w:tblPr>
        <w:tblStyle w:val="17"/>
        <w:tblpPr w:leftFromText="180" w:rightFromText="180" w:vertAnchor="text" w:horzAnchor="page" w:tblpX="1281" w:tblpY="701"/>
        <w:tblOverlap w:val="never"/>
        <w:tblW w:w="9367"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23"/>
        <w:gridCol w:w="1214"/>
        <w:gridCol w:w="2127"/>
        <w:gridCol w:w="510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983" w:hRule="atLeast"/>
        </w:trPr>
        <w:tc>
          <w:tcPr>
            <w:tcW w:w="2137" w:type="dxa"/>
            <w:gridSpan w:val="2"/>
            <w:tcBorders>
              <w:top w:val="single" w:color="000000" w:sz="6" w:space="0"/>
              <w:left w:val="single" w:color="000000" w:sz="18" w:space="0"/>
              <w:right w:val="single" w:color="000000" w:sz="6" w:space="0"/>
            </w:tcBorders>
          </w:tcPr>
          <w:p>
            <w:pPr>
              <w:pStyle w:val="45"/>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2.2.1</w:t>
            </w:r>
          </w:p>
        </w:tc>
        <w:tc>
          <w:tcPr>
            <w:tcW w:w="2127" w:type="dxa"/>
            <w:tcBorders>
              <w:top w:val="single" w:color="000000" w:sz="6" w:space="0"/>
              <w:left w:val="single" w:color="000000" w:sz="6" w:space="0"/>
              <w:right w:val="single" w:color="000000" w:sz="6" w:space="0"/>
            </w:tcBorders>
          </w:tcPr>
          <w:p>
            <w:pPr>
              <w:pStyle w:val="45"/>
              <w:ind w:right="11" w:firstLine="600" w:firstLineChars="30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分值构成 </w:t>
            </w:r>
          </w:p>
          <w:p>
            <w:pPr>
              <w:pStyle w:val="45"/>
              <w:spacing w:before="3"/>
              <w:ind w:left="145" w:right="11"/>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（总分 100 分） </w:t>
            </w:r>
          </w:p>
        </w:tc>
        <w:tc>
          <w:tcPr>
            <w:tcW w:w="5103" w:type="dxa"/>
            <w:tcBorders>
              <w:top w:val="single" w:color="000000" w:sz="6" w:space="0"/>
              <w:left w:val="single" w:color="000000" w:sz="6" w:space="0"/>
            </w:tcBorders>
          </w:tcPr>
          <w:p>
            <w:pPr>
              <w:pStyle w:val="45"/>
              <w:spacing w:line="242" w:lineRule="auto"/>
              <w:ind w:right="233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技术部分评分：</w:t>
            </w:r>
            <w:r>
              <w:rPr>
                <w:rFonts w:hint="eastAsia" w:ascii="微软雅黑" w:hAnsi="微软雅黑" w:eastAsia="微软雅黑" w:cs="微软雅黑"/>
                <w:color w:val="auto"/>
                <w:sz w:val="20"/>
                <w:szCs w:val="20"/>
                <w:highlight w:val="none"/>
                <w:lang w:val="en-US" w:eastAsia="zh-CN"/>
              </w:rPr>
              <w:t>3</w:t>
            </w:r>
            <w:r>
              <w:rPr>
                <w:rFonts w:hint="eastAsia" w:ascii="微软雅黑" w:hAnsi="微软雅黑" w:eastAsia="微软雅黑" w:cs="微软雅黑"/>
                <w:color w:val="auto"/>
                <w:sz w:val="20"/>
                <w:szCs w:val="20"/>
                <w:highlight w:val="none"/>
                <w:u w:val="single"/>
                <w:lang w:val="en-US" w:eastAsia="zh-CN"/>
              </w:rPr>
              <w:t>0</w:t>
            </w:r>
            <w:r>
              <w:rPr>
                <w:rFonts w:hint="eastAsia" w:ascii="微软雅黑" w:hAnsi="微软雅黑" w:eastAsia="微软雅黑" w:cs="微软雅黑"/>
                <w:color w:val="auto"/>
                <w:sz w:val="20"/>
                <w:szCs w:val="20"/>
                <w:highlight w:val="none"/>
              </w:rPr>
              <w:t xml:space="preserve">分；  </w:t>
            </w:r>
          </w:p>
          <w:p>
            <w:pPr>
              <w:pStyle w:val="45"/>
              <w:spacing w:before="1" w:line="242" w:lineRule="auto"/>
              <w:ind w:right="212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投标报价评分：</w:t>
            </w:r>
            <w:r>
              <w:rPr>
                <w:rFonts w:hint="eastAsia" w:ascii="微软雅黑" w:hAnsi="微软雅黑" w:eastAsia="微软雅黑" w:cs="微软雅黑"/>
                <w:color w:val="auto"/>
                <w:sz w:val="20"/>
                <w:szCs w:val="20"/>
                <w:highlight w:val="none"/>
                <w:lang w:val="en-US" w:eastAsia="zh-CN"/>
              </w:rPr>
              <w:t>7</w:t>
            </w:r>
            <w:r>
              <w:rPr>
                <w:rFonts w:hint="eastAsia" w:ascii="微软雅黑" w:hAnsi="微软雅黑" w:eastAsia="微软雅黑" w:cs="微软雅黑"/>
                <w:color w:val="auto"/>
                <w:sz w:val="20"/>
                <w:szCs w:val="20"/>
                <w:highlight w:val="none"/>
                <w:u w:val="single"/>
                <w:lang w:val="en-US" w:eastAsia="zh-CN"/>
              </w:rPr>
              <w:t>0</w:t>
            </w:r>
            <w:r>
              <w:rPr>
                <w:rFonts w:hint="eastAsia" w:ascii="微软雅黑" w:hAnsi="微软雅黑" w:eastAsia="微软雅黑" w:cs="微软雅黑"/>
                <w:color w:val="auto"/>
                <w:sz w:val="20"/>
                <w:szCs w:val="20"/>
                <w:highlight w:val="none"/>
              </w:rPr>
              <w:t xml:space="preserve">分；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97" w:hRule="atLeast"/>
        </w:trPr>
        <w:tc>
          <w:tcPr>
            <w:tcW w:w="2137" w:type="dxa"/>
            <w:gridSpan w:val="2"/>
            <w:tcBorders>
              <w:left w:val="single" w:color="000000" w:sz="18" w:space="0"/>
              <w:bottom w:val="single" w:color="000000" w:sz="6" w:space="0"/>
              <w:right w:val="single" w:color="000000" w:sz="6" w:space="0"/>
            </w:tcBorders>
          </w:tcPr>
          <w:p>
            <w:pPr>
              <w:pStyle w:val="45"/>
              <w:rPr>
                <w:rFonts w:hint="eastAsia" w:ascii="微软雅黑" w:hAnsi="微软雅黑" w:eastAsia="微软雅黑" w:cs="微软雅黑"/>
                <w:b/>
                <w:color w:val="auto"/>
                <w:sz w:val="20"/>
                <w:szCs w:val="20"/>
                <w:highlight w:val="none"/>
              </w:rPr>
            </w:pPr>
          </w:p>
          <w:p>
            <w:pPr>
              <w:pStyle w:val="45"/>
              <w:rPr>
                <w:rFonts w:hint="eastAsia" w:ascii="微软雅黑" w:hAnsi="微软雅黑" w:eastAsia="微软雅黑" w:cs="微软雅黑"/>
                <w:b/>
                <w:color w:val="auto"/>
                <w:sz w:val="20"/>
                <w:szCs w:val="20"/>
                <w:highlight w:val="none"/>
              </w:rPr>
            </w:pPr>
          </w:p>
          <w:p>
            <w:pPr>
              <w:pStyle w:val="45"/>
              <w:rPr>
                <w:rFonts w:hint="eastAsia" w:ascii="微软雅黑" w:hAnsi="微软雅黑" w:eastAsia="微软雅黑" w:cs="微软雅黑"/>
                <w:b/>
                <w:color w:val="auto"/>
                <w:sz w:val="20"/>
                <w:szCs w:val="20"/>
                <w:highlight w:val="none"/>
              </w:rPr>
            </w:pPr>
          </w:p>
          <w:p>
            <w:pPr>
              <w:pStyle w:val="45"/>
              <w:spacing w:before="15"/>
              <w:rPr>
                <w:rFonts w:hint="eastAsia" w:ascii="微软雅黑" w:hAnsi="微软雅黑" w:eastAsia="微软雅黑" w:cs="微软雅黑"/>
                <w:b/>
                <w:color w:val="auto"/>
                <w:sz w:val="20"/>
                <w:szCs w:val="20"/>
                <w:highlight w:val="none"/>
              </w:rPr>
            </w:pPr>
          </w:p>
          <w:p>
            <w:pPr>
              <w:pStyle w:val="45"/>
              <w:ind w:left="79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2.2.2 </w:t>
            </w:r>
          </w:p>
        </w:tc>
        <w:tc>
          <w:tcPr>
            <w:tcW w:w="2127" w:type="dxa"/>
            <w:tcBorders>
              <w:left w:val="single" w:color="000000" w:sz="6" w:space="0"/>
              <w:bottom w:val="single" w:color="000000" w:sz="6" w:space="0"/>
              <w:right w:val="single" w:color="000000" w:sz="6" w:space="0"/>
            </w:tcBorders>
          </w:tcPr>
          <w:p>
            <w:pPr>
              <w:pStyle w:val="45"/>
              <w:rPr>
                <w:rFonts w:hint="eastAsia" w:ascii="微软雅黑" w:hAnsi="微软雅黑" w:eastAsia="微软雅黑" w:cs="微软雅黑"/>
                <w:b/>
                <w:color w:val="auto"/>
                <w:sz w:val="20"/>
                <w:szCs w:val="20"/>
                <w:highlight w:val="none"/>
              </w:rPr>
            </w:pPr>
          </w:p>
          <w:p>
            <w:pPr>
              <w:pStyle w:val="45"/>
              <w:rPr>
                <w:rFonts w:hint="eastAsia" w:ascii="微软雅黑" w:hAnsi="微软雅黑" w:eastAsia="微软雅黑" w:cs="微软雅黑"/>
                <w:b/>
                <w:color w:val="auto"/>
                <w:sz w:val="20"/>
                <w:szCs w:val="20"/>
                <w:highlight w:val="none"/>
              </w:rPr>
            </w:pPr>
          </w:p>
          <w:p>
            <w:pPr>
              <w:pStyle w:val="45"/>
              <w:rPr>
                <w:rFonts w:hint="eastAsia" w:ascii="微软雅黑" w:hAnsi="微软雅黑" w:eastAsia="微软雅黑" w:cs="微软雅黑"/>
                <w:b/>
                <w:color w:val="auto"/>
                <w:sz w:val="20"/>
                <w:szCs w:val="20"/>
                <w:highlight w:val="none"/>
              </w:rPr>
            </w:pPr>
          </w:p>
          <w:p>
            <w:pPr>
              <w:pStyle w:val="45"/>
              <w:spacing w:before="8"/>
              <w:rPr>
                <w:rFonts w:hint="eastAsia" w:ascii="微软雅黑" w:hAnsi="微软雅黑" w:eastAsia="微软雅黑" w:cs="微软雅黑"/>
                <w:b/>
                <w:color w:val="auto"/>
                <w:sz w:val="20"/>
                <w:szCs w:val="20"/>
                <w:highlight w:val="none"/>
              </w:rPr>
            </w:pPr>
          </w:p>
          <w:p>
            <w:pPr>
              <w:pStyle w:val="45"/>
              <w:spacing w:line="242" w:lineRule="auto"/>
              <w:ind w:left="861" w:right="200" w:hanging="52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评标基准价计算方法 </w:t>
            </w:r>
          </w:p>
        </w:tc>
        <w:tc>
          <w:tcPr>
            <w:tcW w:w="5103" w:type="dxa"/>
            <w:tcBorders>
              <w:left w:val="single" w:color="000000" w:sz="6" w:space="0"/>
              <w:bottom w:val="single" w:color="000000" w:sz="6" w:space="0"/>
            </w:tcBorders>
          </w:tcPr>
          <w:p>
            <w:pPr>
              <w:pStyle w:val="45"/>
              <w:numPr>
                <w:ilvl w:val="0"/>
                <w:numId w:val="25"/>
              </w:numPr>
              <w:tabs>
                <w:tab w:val="left" w:pos="327"/>
              </w:tabs>
              <w:spacing w:before="3" w:after="0" w:line="242" w:lineRule="auto"/>
              <w:ind w:left="115" w:right="-87" w:firstLine="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有效报价：投标人通过形式审查、资格审查、响应 性评审且没有其他原因被否决，则投标人为有效投标人，其报价为有效报价。  </w:t>
            </w:r>
          </w:p>
          <w:p>
            <w:pPr>
              <w:pStyle w:val="45"/>
              <w:numPr>
                <w:ilvl w:val="0"/>
                <w:numId w:val="25"/>
              </w:numPr>
              <w:tabs>
                <w:tab w:val="left" w:pos="327"/>
              </w:tabs>
              <w:spacing w:before="2" w:after="0" w:line="240" w:lineRule="auto"/>
              <w:ind w:left="326" w:right="0" w:hanging="212"/>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评标基准价：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如有效报价的投标人数量＜7</w:t>
            </w:r>
            <w:r>
              <w:rPr>
                <w:rFonts w:hint="eastAsia" w:ascii="微软雅黑" w:hAnsi="微软雅黑" w:eastAsia="微软雅黑" w:cs="微软雅黑"/>
                <w:color w:val="auto"/>
                <w:spacing w:val="-9"/>
                <w:sz w:val="20"/>
                <w:szCs w:val="20"/>
                <w:highlight w:val="none"/>
              </w:rPr>
              <w:t xml:space="preserve"> 家时，评标基准价=有效</w:t>
            </w:r>
            <w:r>
              <w:rPr>
                <w:rFonts w:hint="eastAsia" w:ascii="微软雅黑" w:hAnsi="微软雅黑" w:eastAsia="微软雅黑" w:cs="微软雅黑"/>
                <w:color w:val="auto"/>
                <w:sz w:val="20"/>
                <w:szCs w:val="20"/>
                <w:highlight w:val="none"/>
              </w:rPr>
              <w:t xml:space="preserve">投标报价的算术平均值； </w:t>
            </w:r>
          </w:p>
          <w:p>
            <w:pPr>
              <w:pStyle w:val="45"/>
              <w:spacing w:before="1"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如有效报价的投标人数量≥7</w:t>
            </w:r>
            <w:r>
              <w:rPr>
                <w:rFonts w:hint="eastAsia" w:ascii="微软雅黑" w:hAnsi="微软雅黑" w:eastAsia="微软雅黑" w:cs="微软雅黑"/>
                <w:color w:val="auto"/>
                <w:spacing w:val="-9"/>
                <w:sz w:val="20"/>
                <w:szCs w:val="20"/>
                <w:highlight w:val="none"/>
              </w:rPr>
              <w:t xml:space="preserve"> 家时，评标基准价=去掉</w:t>
            </w:r>
            <w:r>
              <w:rPr>
                <w:rFonts w:hint="eastAsia" w:ascii="微软雅黑" w:hAnsi="微软雅黑" w:eastAsia="微软雅黑" w:cs="微软雅黑"/>
                <w:color w:val="auto"/>
                <w:sz w:val="20"/>
                <w:szCs w:val="20"/>
                <w:highlight w:val="none"/>
              </w:rPr>
              <w:t xml:space="preserve">一个最高有效投标报价和一个最低有效投标报价后的算术平均值； </w:t>
            </w:r>
          </w:p>
          <w:p>
            <w:pPr>
              <w:pStyle w:val="45"/>
              <w:spacing w:before="2" w:line="242" w:lineRule="auto"/>
              <w:ind w:left="115" w:right="77"/>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如有效报价的投标人数量≥11</w:t>
            </w:r>
            <w:r>
              <w:rPr>
                <w:rFonts w:hint="eastAsia" w:ascii="微软雅黑" w:hAnsi="微软雅黑" w:eastAsia="微软雅黑" w:cs="微软雅黑"/>
                <w:color w:val="auto"/>
                <w:spacing w:val="-18"/>
                <w:sz w:val="20"/>
                <w:szCs w:val="20"/>
                <w:highlight w:val="none"/>
              </w:rPr>
              <w:t xml:space="preserve"> 家时，评标基准价=去掉</w:t>
            </w:r>
            <w:r>
              <w:rPr>
                <w:rFonts w:hint="eastAsia" w:ascii="微软雅黑" w:hAnsi="微软雅黑" w:eastAsia="微软雅黑" w:cs="微软雅黑"/>
                <w:color w:val="auto"/>
                <w:sz w:val="20"/>
                <w:szCs w:val="20"/>
                <w:highlight w:val="none"/>
              </w:rPr>
              <w:t xml:space="preserve">二个最高有效投标报价和二个最低有效投标报价后的算术平均值； </w:t>
            </w:r>
          </w:p>
          <w:p>
            <w:pPr>
              <w:pStyle w:val="45"/>
              <w:spacing w:before="2" w:line="249" w:lineRule="exact"/>
              <w:ind w:left="115"/>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计算保留 2 位小数，第三位小数四舍五入。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7" w:hRule="atLeast"/>
        </w:trPr>
        <w:tc>
          <w:tcPr>
            <w:tcW w:w="2137" w:type="dxa"/>
            <w:gridSpan w:val="2"/>
            <w:tcBorders>
              <w:top w:val="single" w:color="000000" w:sz="6" w:space="0"/>
              <w:left w:val="single" w:color="000000" w:sz="18" w:space="0"/>
              <w:bottom w:val="single" w:color="000000" w:sz="6" w:space="0"/>
              <w:right w:val="single" w:color="000000" w:sz="6" w:space="0"/>
            </w:tcBorders>
          </w:tcPr>
          <w:p>
            <w:pPr>
              <w:pStyle w:val="45"/>
              <w:spacing w:before="150"/>
              <w:ind w:left="79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2.2.3 </w:t>
            </w:r>
          </w:p>
        </w:tc>
        <w:tc>
          <w:tcPr>
            <w:tcW w:w="2127" w:type="dxa"/>
            <w:tcBorders>
              <w:top w:val="single" w:color="000000" w:sz="6" w:space="0"/>
              <w:left w:val="single" w:color="000000" w:sz="6" w:space="0"/>
              <w:bottom w:val="single" w:color="000000" w:sz="6" w:space="0"/>
              <w:right w:val="single" w:color="000000" w:sz="6" w:space="0"/>
            </w:tcBorders>
          </w:tcPr>
          <w:p>
            <w:pPr>
              <w:pStyle w:val="45"/>
              <w:spacing w:before="13" w:line="270" w:lineRule="atLeast"/>
              <w:ind w:left="650" w:right="95" w:hanging="420"/>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投标报价的偏差率计算公式 </w:t>
            </w:r>
          </w:p>
        </w:tc>
        <w:tc>
          <w:tcPr>
            <w:tcW w:w="5103" w:type="dxa"/>
            <w:tcBorders>
              <w:top w:val="single" w:color="000000" w:sz="6" w:space="0"/>
              <w:left w:val="single" w:color="000000" w:sz="6" w:space="0"/>
              <w:bottom w:val="single" w:color="000000" w:sz="6" w:space="0"/>
            </w:tcBorders>
          </w:tcPr>
          <w:p>
            <w:pPr>
              <w:pStyle w:val="45"/>
              <w:spacing w:before="13" w:line="270" w:lineRule="atLeast"/>
              <w:ind w:left="115" w:right="11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偏差率=100% ×（投标人报价−评标基准价）/评标基准价。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10" w:hRule="atLeast"/>
        </w:trPr>
        <w:tc>
          <w:tcPr>
            <w:tcW w:w="923" w:type="dxa"/>
            <w:vMerge w:val="restart"/>
            <w:tcBorders>
              <w:top w:val="single" w:color="000000" w:sz="6" w:space="0"/>
              <w:left w:val="single" w:color="000000" w:sz="18" w:space="0"/>
              <w:right w:val="single" w:color="000000" w:sz="4"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rPr>
              <w:t>2.2.</w:t>
            </w:r>
            <w:r>
              <w:rPr>
                <w:rFonts w:hint="eastAsia" w:ascii="微软雅黑" w:hAnsi="微软雅黑" w:eastAsia="微软雅黑" w:cs="微软雅黑"/>
                <w:color w:val="auto"/>
                <w:sz w:val="20"/>
                <w:szCs w:val="20"/>
                <w:highlight w:val="none"/>
                <w:lang w:val="en-US" w:eastAsia="zh-CN"/>
              </w:rPr>
              <w:t>3</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tc>
        <w:tc>
          <w:tcPr>
            <w:tcW w:w="1214" w:type="dxa"/>
            <w:vMerge w:val="restart"/>
            <w:tcBorders>
              <w:top w:val="single" w:color="000000" w:sz="6" w:space="0"/>
              <w:left w:val="single" w:color="000000" w:sz="4" w:space="0"/>
              <w:right w:val="single" w:color="000000" w:sz="6"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技术部分</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30</w:t>
            </w:r>
            <w:r>
              <w:rPr>
                <w:rFonts w:hint="eastAsia" w:ascii="微软雅黑" w:hAnsi="微软雅黑" w:eastAsia="微软雅黑" w:cs="微软雅黑"/>
                <w:color w:val="auto"/>
                <w:sz w:val="20"/>
                <w:szCs w:val="20"/>
                <w:highlight w:val="none"/>
              </w:rPr>
              <w:t>分</w:t>
            </w:r>
            <w:r>
              <w:rPr>
                <w:rFonts w:hint="eastAsia" w:ascii="微软雅黑" w:hAnsi="微软雅黑" w:eastAsia="微软雅黑" w:cs="微软雅黑"/>
                <w:color w:val="auto"/>
                <w:sz w:val="20"/>
                <w:szCs w:val="20"/>
                <w:highlight w:val="none"/>
                <w:lang w:val="en-US" w:eastAsia="zh-CN"/>
              </w:rPr>
              <w:t>）</w:t>
            </w:r>
            <w:r>
              <w:rPr>
                <w:rFonts w:hint="eastAsia" w:ascii="微软雅黑" w:hAnsi="微软雅黑" w:eastAsia="微软雅黑" w:cs="微软雅黑"/>
                <w:color w:val="auto"/>
                <w:sz w:val="20"/>
                <w:szCs w:val="20"/>
                <w:highlight w:val="none"/>
              </w:rPr>
              <w:t xml:space="preserve">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right w:val="single" w:color="000000" w:sz="6" w:space="0"/>
            </w:tcBorders>
            <w:vAlign w:val="top"/>
          </w:tcPr>
          <w:p>
            <w:pPr>
              <w:pStyle w:val="45"/>
              <w:spacing w:before="133" w:line="240" w:lineRule="auto"/>
              <w:ind w:right="232" w:rightChars="0"/>
              <w:jc w:val="both"/>
              <w:rPr>
                <w:rFonts w:hint="eastAsia" w:ascii="微软雅黑" w:hAnsi="微软雅黑" w:eastAsia="微软雅黑" w:cs="微软雅黑"/>
                <w:color w:val="auto"/>
                <w:sz w:val="20"/>
                <w:szCs w:val="20"/>
                <w:highlight w:val="none"/>
                <w:lang w:eastAsia="zh-CN"/>
              </w:rPr>
            </w:pPr>
          </w:p>
          <w:p>
            <w:pPr>
              <w:pStyle w:val="45"/>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eastAsia="zh-CN"/>
              </w:rPr>
            </w:pPr>
            <w:r>
              <w:rPr>
                <w:rFonts w:hint="eastAsia" w:ascii="微软雅黑" w:hAnsi="微软雅黑" w:eastAsia="微软雅黑" w:cs="微软雅黑"/>
                <w:color w:val="auto"/>
                <w:sz w:val="20"/>
                <w:szCs w:val="20"/>
                <w:highlight w:val="none"/>
                <w:lang w:eastAsia="zh-CN"/>
              </w:rPr>
              <w:t>技术方案评分</w:t>
            </w:r>
          </w:p>
          <w:p>
            <w:pPr>
              <w:pStyle w:val="45"/>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eastAsia="zh-CN"/>
              </w:rPr>
            </w:pP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10</w:t>
            </w:r>
            <w:r>
              <w:rPr>
                <w:rFonts w:hint="eastAsia" w:ascii="微软雅黑" w:hAnsi="微软雅黑" w:eastAsia="微软雅黑" w:cs="微软雅黑"/>
                <w:color w:val="auto"/>
                <w:sz w:val="20"/>
                <w:szCs w:val="20"/>
                <w:highlight w:val="none"/>
                <w:lang w:eastAsia="zh-CN"/>
              </w:rPr>
              <w:t>分）</w:t>
            </w:r>
          </w:p>
        </w:tc>
        <w:tc>
          <w:tcPr>
            <w:tcW w:w="5103" w:type="dxa"/>
            <w:tcBorders>
              <w:top w:val="single" w:color="000000" w:sz="6" w:space="0"/>
              <w:left w:val="single" w:color="000000" w:sz="6" w:space="0"/>
              <w:bottom w:val="single" w:color="000000" w:sz="6" w:space="0"/>
            </w:tcBorders>
            <w:vAlign w:val="top"/>
          </w:tcPr>
          <w:p>
            <w:pPr>
              <w:pStyle w:val="45"/>
              <w:spacing w:before="133" w:line="240" w:lineRule="auto"/>
              <w:ind w:left="149" w:leftChars="0" w:right="232" w:rightChars="0" w:firstLine="12" w:firstLineChars="0"/>
              <w:jc w:val="left"/>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eastAsia="zh-CN"/>
              </w:rPr>
              <w:t>设备满足招标要求，主体设备为根据本采购项目内容要求而细化制定，系统安全可靠，主要设备采用</w:t>
            </w:r>
            <w:r>
              <w:rPr>
                <w:rFonts w:hint="eastAsia" w:ascii="微软雅黑" w:hAnsi="微软雅黑" w:eastAsia="微软雅黑" w:cs="微软雅黑"/>
                <w:color w:val="auto"/>
                <w:sz w:val="20"/>
                <w:szCs w:val="20"/>
                <w:highlight w:val="none"/>
                <w:lang w:val="en-US" w:eastAsia="zh-CN"/>
              </w:rPr>
              <w:t>品牌好，</w:t>
            </w:r>
            <w:r>
              <w:rPr>
                <w:rFonts w:hint="eastAsia" w:ascii="微软雅黑" w:hAnsi="微软雅黑" w:eastAsia="微软雅黑" w:cs="微软雅黑"/>
                <w:color w:val="auto"/>
                <w:sz w:val="20"/>
                <w:szCs w:val="20"/>
                <w:highlight w:val="none"/>
                <w:lang w:eastAsia="zh-CN"/>
              </w:rPr>
              <w:t>技术参数选择合理，部件质量可靠，利于运营、维护。优得1</w:t>
            </w:r>
            <w:r>
              <w:rPr>
                <w:rFonts w:hint="eastAsia" w:ascii="微软雅黑" w:hAnsi="微软雅黑" w:eastAsia="微软雅黑" w:cs="微软雅黑"/>
                <w:color w:val="auto"/>
                <w:sz w:val="20"/>
                <w:szCs w:val="20"/>
                <w:highlight w:val="none"/>
                <w:lang w:val="en-US" w:eastAsia="zh-CN"/>
              </w:rPr>
              <w:t>0</w:t>
            </w: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5.1</w:t>
            </w:r>
            <w:r>
              <w:rPr>
                <w:rFonts w:hint="eastAsia" w:ascii="微软雅黑" w:hAnsi="微软雅黑" w:eastAsia="微软雅黑" w:cs="微软雅黑"/>
                <w:color w:val="auto"/>
                <w:sz w:val="20"/>
                <w:szCs w:val="20"/>
                <w:highlight w:val="none"/>
                <w:lang w:eastAsia="zh-CN"/>
              </w:rPr>
              <w:t>分，良得</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2.1</w:t>
            </w:r>
            <w:r>
              <w:rPr>
                <w:rFonts w:hint="eastAsia" w:ascii="微软雅黑" w:hAnsi="微软雅黑" w:eastAsia="微软雅黑" w:cs="微软雅黑"/>
                <w:color w:val="auto"/>
                <w:sz w:val="20"/>
                <w:szCs w:val="20"/>
                <w:highlight w:val="none"/>
                <w:lang w:eastAsia="zh-CN"/>
              </w:rPr>
              <w:t>分，中得</w:t>
            </w:r>
            <w:r>
              <w:rPr>
                <w:rFonts w:hint="eastAsia" w:ascii="微软雅黑" w:hAnsi="微软雅黑" w:eastAsia="微软雅黑" w:cs="微软雅黑"/>
                <w:color w:val="auto"/>
                <w:sz w:val="20"/>
                <w:szCs w:val="20"/>
                <w:highlight w:val="none"/>
                <w:lang w:val="en-US" w:eastAsia="zh-CN"/>
              </w:rPr>
              <w:t>2</w:t>
            </w:r>
            <w:r>
              <w:rPr>
                <w:rFonts w:hint="eastAsia" w:ascii="微软雅黑" w:hAnsi="微软雅黑" w:eastAsia="微软雅黑" w:cs="微软雅黑"/>
                <w:color w:val="auto"/>
                <w:sz w:val="20"/>
                <w:szCs w:val="20"/>
                <w:highlight w:val="none"/>
                <w:lang w:eastAsia="zh-CN"/>
              </w:rPr>
              <w:t>-1分，差或未提供的不得分。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trPr>
        <w:tc>
          <w:tcPr>
            <w:tcW w:w="923" w:type="dxa"/>
            <w:vMerge w:val="continue"/>
            <w:tcBorders>
              <w:left w:val="single" w:color="000000" w:sz="18" w:space="0"/>
              <w:right w:val="single" w:color="000000" w:sz="4"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bottom w:val="single" w:color="000000" w:sz="6" w:space="0"/>
              <w:right w:val="single" w:color="000000" w:sz="6" w:space="0"/>
            </w:tcBorders>
            <w:vAlign w:val="top"/>
          </w:tcPr>
          <w:p>
            <w:pPr>
              <w:pStyle w:val="45"/>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eastAsia="zh-CN"/>
              </w:rPr>
              <w:t>优惠条件（</w:t>
            </w:r>
            <w:r>
              <w:rPr>
                <w:rFonts w:hint="eastAsia" w:ascii="微软雅黑" w:hAnsi="微软雅黑" w:eastAsia="微软雅黑" w:cs="微软雅黑"/>
                <w:color w:val="auto"/>
                <w:sz w:val="20"/>
                <w:szCs w:val="20"/>
                <w:highlight w:val="none"/>
                <w:lang w:val="en-US" w:eastAsia="zh-CN"/>
              </w:rPr>
              <w:t>5分）</w:t>
            </w:r>
          </w:p>
        </w:tc>
        <w:tc>
          <w:tcPr>
            <w:tcW w:w="5103" w:type="dxa"/>
            <w:tcBorders>
              <w:top w:val="single" w:color="000000" w:sz="6" w:space="0"/>
              <w:left w:val="single" w:color="000000" w:sz="6" w:space="0"/>
              <w:bottom w:val="single" w:color="000000" w:sz="6" w:space="0"/>
            </w:tcBorders>
            <w:vAlign w:val="top"/>
          </w:tcPr>
          <w:p>
            <w:pPr>
              <w:pStyle w:val="45"/>
              <w:spacing w:before="29" w:line="240" w:lineRule="auto"/>
              <w:ind w:right="161" w:rightChars="0"/>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投标人在投标文件中每提供一项实质性的优惠承诺，得1分，本项最多得</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2" w:hRule="atLeast"/>
        </w:trPr>
        <w:tc>
          <w:tcPr>
            <w:tcW w:w="923" w:type="dxa"/>
            <w:vMerge w:val="continue"/>
            <w:tcBorders>
              <w:left w:val="single" w:color="000000" w:sz="18" w:space="0"/>
              <w:right w:val="single" w:color="000000" w:sz="4"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4" w:space="0"/>
              <w:left w:val="single" w:color="000000" w:sz="6" w:space="0"/>
              <w:bottom w:val="single" w:color="000000" w:sz="6" w:space="0"/>
              <w:right w:val="single" w:color="000000" w:sz="6" w:space="0"/>
            </w:tcBorders>
            <w:vAlign w:val="top"/>
          </w:tcPr>
          <w:p>
            <w:pPr>
              <w:pStyle w:val="45"/>
              <w:spacing w:line="240" w:lineRule="exact"/>
              <w:ind w:left="92" w:right="0"/>
              <w:jc w:val="center"/>
              <w:rPr>
                <w:rFonts w:hint="eastAsia" w:ascii="微软雅黑" w:hAnsi="微软雅黑" w:eastAsia="微软雅黑" w:cs="微软雅黑"/>
                <w:color w:val="auto"/>
                <w:sz w:val="20"/>
                <w:szCs w:val="20"/>
                <w:highlight w:val="none"/>
              </w:rPr>
            </w:pPr>
          </w:p>
          <w:p>
            <w:pPr>
              <w:pStyle w:val="45"/>
              <w:spacing w:line="240" w:lineRule="exact"/>
              <w:ind w:left="92" w:right="0"/>
              <w:jc w:val="center"/>
              <w:rPr>
                <w:rFonts w:hint="eastAsia" w:ascii="微软雅黑" w:hAnsi="微软雅黑" w:eastAsia="微软雅黑" w:cs="微软雅黑"/>
                <w:color w:val="auto"/>
                <w:sz w:val="20"/>
                <w:szCs w:val="20"/>
                <w:highlight w:val="none"/>
              </w:rPr>
            </w:pPr>
          </w:p>
          <w:p>
            <w:pPr>
              <w:pStyle w:val="45"/>
              <w:spacing w:line="240" w:lineRule="exact"/>
              <w:ind w:left="92" w:right="0"/>
              <w:jc w:val="center"/>
              <w:rPr>
                <w:rFonts w:hint="eastAsia" w:ascii="微软雅黑" w:hAnsi="微软雅黑" w:eastAsia="微软雅黑" w:cs="微软雅黑"/>
                <w:color w:val="auto"/>
                <w:sz w:val="20"/>
                <w:szCs w:val="20"/>
                <w:highlight w:val="none"/>
              </w:rPr>
            </w:pPr>
          </w:p>
          <w:p>
            <w:pPr>
              <w:pStyle w:val="45"/>
              <w:spacing w:line="240" w:lineRule="exact"/>
              <w:ind w:left="92" w:right="0"/>
              <w:jc w:val="center"/>
              <w:rPr>
                <w:rFonts w:hint="eastAsia" w:ascii="微软雅黑" w:hAnsi="微软雅黑" w:eastAsia="微软雅黑" w:cs="微软雅黑"/>
                <w:color w:val="auto"/>
                <w:sz w:val="20"/>
                <w:szCs w:val="20"/>
                <w:highlight w:val="none"/>
              </w:rPr>
            </w:pPr>
          </w:p>
          <w:p>
            <w:pPr>
              <w:pStyle w:val="45"/>
              <w:spacing w:line="241" w:lineRule="exact"/>
              <w:ind w:left="103" w:right="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lang w:eastAsia="zh-CN"/>
              </w:rPr>
              <w:t>供货及安装方案</w:t>
            </w:r>
          </w:p>
          <w:p>
            <w:pPr>
              <w:pStyle w:val="45"/>
              <w:spacing w:line="241" w:lineRule="exact"/>
              <w:ind w:left="103" w:leftChars="0" w:right="0" w:rightChars="0"/>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rPr>
              <w:t>分）</w:t>
            </w:r>
          </w:p>
        </w:tc>
        <w:tc>
          <w:tcPr>
            <w:tcW w:w="5103" w:type="dxa"/>
            <w:tcBorders>
              <w:top w:val="single" w:color="000000" w:sz="6" w:space="0"/>
              <w:left w:val="single" w:color="000000" w:sz="6" w:space="0"/>
              <w:bottom w:val="single" w:color="000000" w:sz="6" w:space="0"/>
            </w:tcBorders>
            <w:vAlign w:val="top"/>
          </w:tcPr>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根据投标人对本项目供货、安装调试、验收组织做</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出的计划及保证措施进行评审：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第一档，提供了内容完整、详实可行的方案，有很</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强的针对性和可操作性， 得 4.1-5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第二档，提供了通用、简单的方案，符合采购需求，</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得2.1-4分； </w:t>
            </w:r>
          </w:p>
          <w:p>
            <w:pP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kern w:val="2"/>
                <w:sz w:val="20"/>
                <w:szCs w:val="20"/>
                <w:highlight w:val="none"/>
                <w:lang w:val="en-US" w:eastAsia="zh-CN" w:bidi="ar-SA"/>
              </w:rPr>
              <w:t>第三档，方案可行，但内容不够完整，得0-2分。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56" w:hRule="atLeast"/>
        </w:trPr>
        <w:tc>
          <w:tcPr>
            <w:tcW w:w="923" w:type="dxa"/>
            <w:vMerge w:val="continue"/>
            <w:tcBorders>
              <w:left w:val="single" w:color="000000" w:sz="18" w:space="0"/>
              <w:right w:val="single" w:color="000000" w:sz="4"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bottom w:val="single" w:color="000000" w:sz="6" w:space="0"/>
              <w:right w:val="single" w:color="000000" w:sz="6" w:space="0"/>
            </w:tcBorders>
            <w:vAlign w:val="top"/>
          </w:tcPr>
          <w:p>
            <w:pPr>
              <w:pStyle w:val="45"/>
              <w:spacing w:before="4" w:line="240" w:lineRule="auto"/>
              <w:ind w:right="191"/>
              <w:jc w:val="center"/>
              <w:rPr>
                <w:rFonts w:hint="eastAsia" w:ascii="微软雅黑" w:hAnsi="微软雅黑" w:eastAsia="微软雅黑" w:cs="微软雅黑"/>
                <w:color w:val="auto"/>
                <w:sz w:val="20"/>
                <w:szCs w:val="20"/>
                <w:highlight w:val="none"/>
              </w:rPr>
            </w:pPr>
          </w:p>
          <w:p>
            <w:pPr>
              <w:pStyle w:val="45"/>
              <w:spacing w:before="4" w:line="240" w:lineRule="auto"/>
              <w:ind w:right="191"/>
              <w:jc w:val="center"/>
              <w:rPr>
                <w:rFonts w:hint="eastAsia" w:ascii="微软雅黑" w:hAnsi="微软雅黑" w:eastAsia="微软雅黑" w:cs="微软雅黑"/>
                <w:color w:val="auto"/>
                <w:sz w:val="20"/>
                <w:szCs w:val="20"/>
                <w:highlight w:val="none"/>
              </w:rPr>
            </w:pPr>
          </w:p>
          <w:p>
            <w:pPr>
              <w:pStyle w:val="45"/>
              <w:spacing w:before="4" w:line="240" w:lineRule="auto"/>
              <w:ind w:right="191"/>
              <w:jc w:val="center"/>
              <w:rPr>
                <w:rFonts w:hint="eastAsia" w:ascii="微软雅黑" w:hAnsi="微软雅黑" w:eastAsia="微软雅黑" w:cs="微软雅黑"/>
                <w:color w:val="auto"/>
                <w:sz w:val="20"/>
                <w:szCs w:val="20"/>
                <w:highlight w:val="none"/>
              </w:rPr>
            </w:pPr>
          </w:p>
          <w:p>
            <w:pPr>
              <w:pStyle w:val="45"/>
              <w:spacing w:before="99" w:line="274" w:lineRule="exact"/>
              <w:ind w:left="10" w:right="0"/>
              <w:jc w:val="center"/>
              <w:rPr>
                <w:rFonts w:hint="eastAsia" w:ascii="微软雅黑" w:hAnsi="微软雅黑" w:eastAsia="微软雅黑" w:cs="微软雅黑"/>
                <w:color w:val="auto"/>
                <w:spacing w:val="21"/>
                <w:sz w:val="20"/>
                <w:szCs w:val="20"/>
                <w:highlight w:val="none"/>
              </w:rPr>
            </w:pPr>
            <w:r>
              <w:rPr>
                <w:rFonts w:hint="eastAsia" w:ascii="微软雅黑" w:hAnsi="微软雅黑" w:eastAsia="微软雅黑" w:cs="微软雅黑"/>
                <w:color w:val="auto"/>
                <w:spacing w:val="21"/>
                <w:sz w:val="20"/>
                <w:szCs w:val="20"/>
                <w:highlight w:val="none"/>
              </w:rPr>
              <w:t>售后服务及体系</w:t>
            </w:r>
          </w:p>
          <w:p>
            <w:pPr>
              <w:pStyle w:val="45"/>
              <w:spacing w:before="99" w:line="274" w:lineRule="exact"/>
              <w:ind w:left="10" w:right="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pacing w:val="21"/>
                <w:sz w:val="20"/>
                <w:szCs w:val="20"/>
                <w:highlight w:val="none"/>
              </w:rPr>
              <w:t>（</w:t>
            </w:r>
            <w:r>
              <w:rPr>
                <w:rFonts w:hint="eastAsia" w:ascii="微软雅黑" w:hAnsi="微软雅黑" w:eastAsia="微软雅黑" w:cs="微软雅黑"/>
                <w:color w:val="auto"/>
                <w:sz w:val="20"/>
                <w:szCs w:val="20"/>
                <w:highlight w:val="none"/>
                <w:lang w:val="en-US" w:eastAsia="zh-CN"/>
              </w:rPr>
              <w:t>10</w:t>
            </w:r>
            <w:r>
              <w:rPr>
                <w:rFonts w:hint="eastAsia" w:ascii="微软雅黑" w:hAnsi="微软雅黑" w:eastAsia="微软雅黑" w:cs="微软雅黑"/>
                <w:color w:val="auto"/>
                <w:sz w:val="20"/>
                <w:szCs w:val="20"/>
                <w:highlight w:val="none"/>
              </w:rPr>
              <w:t>分）</w:t>
            </w:r>
          </w:p>
          <w:p>
            <w:pPr>
              <w:pStyle w:val="45"/>
              <w:spacing w:before="83" w:line="240" w:lineRule="auto"/>
              <w:ind w:left="420" w:right="0"/>
              <w:jc w:val="center"/>
              <w:rPr>
                <w:rFonts w:hint="eastAsia" w:ascii="微软雅黑" w:hAnsi="微软雅黑" w:eastAsia="微软雅黑" w:cs="微软雅黑"/>
                <w:color w:val="auto"/>
                <w:sz w:val="20"/>
                <w:szCs w:val="20"/>
                <w:highlight w:val="none"/>
              </w:rPr>
            </w:pPr>
          </w:p>
          <w:p>
            <w:pPr>
              <w:pStyle w:val="45"/>
              <w:spacing w:before="18" w:line="240" w:lineRule="auto"/>
              <w:ind w:left="419" w:leftChars="0" w:right="0" w:rightChars="0"/>
              <w:jc w:val="center"/>
              <w:rPr>
                <w:rFonts w:hint="eastAsia" w:ascii="微软雅黑" w:hAnsi="微软雅黑" w:eastAsia="微软雅黑" w:cs="微软雅黑"/>
                <w:color w:val="auto"/>
                <w:sz w:val="20"/>
                <w:szCs w:val="20"/>
                <w:highlight w:val="none"/>
              </w:rPr>
            </w:pPr>
          </w:p>
        </w:tc>
        <w:tc>
          <w:tcPr>
            <w:tcW w:w="5103" w:type="dxa"/>
            <w:tcBorders>
              <w:top w:val="single" w:color="000000" w:sz="6" w:space="0"/>
              <w:left w:val="single" w:color="000000" w:sz="6" w:space="0"/>
              <w:bottom w:val="single" w:color="000000" w:sz="6" w:space="0"/>
            </w:tcBorders>
            <w:vAlign w:val="top"/>
          </w:tcPr>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根据投标人的售后服务、技术支持能力与承诺优劣</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进行综合比较评价：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第一档，售后服务保障体系及措施完善，技术支持</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能力强，服务响应快，响应程度高或优于招标需求</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的， 得 7.1-10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第二档，售后服务保障体系及措施较好，技术支持 能力较强，服务响应较快，满足招标需求，得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4.1-7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第三档，售后服务保障体系及措施基本符合招标要</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求， 但技术支持能力和服务响应速度较差或一</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般，得 1-4 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61" w:hRule="atLeast"/>
        </w:trPr>
        <w:tc>
          <w:tcPr>
            <w:tcW w:w="923" w:type="dxa"/>
            <w:tcBorders>
              <w:top w:val="single" w:color="000000" w:sz="6" w:space="0"/>
              <w:left w:val="single" w:color="000000" w:sz="18" w:space="0"/>
              <w:right w:val="single" w:color="000000" w:sz="4" w:space="0"/>
            </w:tcBorders>
          </w:tcPr>
          <w:p>
            <w:pPr>
              <w:pStyle w:val="45"/>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2.2.4 </w:t>
            </w:r>
          </w:p>
          <w:p>
            <w:pPr>
              <w:pStyle w:val="45"/>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tcBorders>
              <w:top w:val="single" w:color="000000" w:sz="6" w:space="0"/>
              <w:left w:val="single" w:color="000000" w:sz="4" w:space="0"/>
              <w:right w:val="single" w:color="000000" w:sz="6" w:space="0"/>
            </w:tcBorders>
            <w:vAlign w:val="center"/>
          </w:tcPr>
          <w:p>
            <w:pPr>
              <w:pStyle w:val="45"/>
              <w:spacing w:before="3" w:line="242" w:lineRule="auto"/>
              <w:ind w:left="115" w:right="80"/>
              <w:jc w:val="both"/>
              <w:rPr>
                <w:rFonts w:hint="eastAsia" w:ascii="微软雅黑" w:hAnsi="微软雅黑" w:eastAsia="微软雅黑" w:cs="微软雅黑"/>
                <w:color w:val="auto"/>
                <w:sz w:val="20"/>
                <w:szCs w:val="20"/>
                <w:highlight w:val="none"/>
                <w:lang w:val="zh-CN" w:eastAsia="zh-CN"/>
              </w:rPr>
            </w:pPr>
            <w:r>
              <w:rPr>
                <w:rFonts w:hint="eastAsia" w:ascii="微软雅黑" w:hAnsi="微软雅黑" w:eastAsia="微软雅黑" w:cs="微软雅黑"/>
                <w:color w:val="auto"/>
                <w:sz w:val="20"/>
                <w:szCs w:val="20"/>
                <w:highlight w:val="none"/>
              </w:rPr>
              <w:t>投标报价 评分标准(</w:t>
            </w:r>
            <w:r>
              <w:rPr>
                <w:rFonts w:hint="eastAsia" w:ascii="微软雅黑" w:hAnsi="微软雅黑" w:eastAsia="微软雅黑" w:cs="微软雅黑"/>
                <w:color w:val="auto"/>
                <w:sz w:val="20"/>
                <w:szCs w:val="20"/>
                <w:highlight w:val="none"/>
                <w:lang w:val="en-US" w:eastAsia="zh-CN"/>
              </w:rPr>
              <w:t>70</w:t>
            </w:r>
            <w:r>
              <w:rPr>
                <w:rFonts w:hint="eastAsia" w:ascii="微软雅黑" w:hAnsi="微软雅黑" w:eastAsia="微软雅黑" w:cs="微软雅黑"/>
                <w:color w:val="auto"/>
                <w:sz w:val="20"/>
                <w:szCs w:val="20"/>
                <w:highlight w:val="none"/>
              </w:rPr>
              <w:t xml:space="preserve"> 分</w:t>
            </w:r>
            <w:r>
              <w:rPr>
                <w:rFonts w:hint="eastAsia" w:ascii="微软雅黑" w:hAnsi="微软雅黑" w:eastAsia="微软雅黑" w:cs="微软雅黑"/>
                <w:color w:val="auto"/>
                <w:sz w:val="20"/>
                <w:szCs w:val="20"/>
                <w:highlight w:val="none"/>
                <w:lang w:eastAsia="zh-CN"/>
              </w:rPr>
              <w:t>）</w:t>
            </w:r>
          </w:p>
        </w:tc>
        <w:tc>
          <w:tcPr>
            <w:tcW w:w="7230" w:type="dxa"/>
            <w:gridSpan w:val="2"/>
            <w:tcBorders>
              <w:top w:val="single" w:color="000000" w:sz="6" w:space="0"/>
              <w:left w:val="single" w:color="000000" w:sz="6" w:space="0"/>
            </w:tcBorders>
            <w:vAlign w:val="center"/>
          </w:tcPr>
          <w:p>
            <w:pPr>
              <w:pStyle w:val="45"/>
              <w:spacing w:before="3" w:line="242" w:lineRule="auto"/>
              <w:ind w:left="115" w:right="80"/>
              <w:jc w:val="both"/>
              <w:rPr>
                <w:rFonts w:hint="eastAsia" w:ascii="微软雅黑" w:hAnsi="微软雅黑" w:eastAsia="微软雅黑" w:cs="微软雅黑"/>
                <w:color w:val="auto"/>
                <w:sz w:val="20"/>
                <w:szCs w:val="20"/>
                <w:highlight w:val="none"/>
                <w:lang w:val="zh-CN" w:eastAsia="zh-CN"/>
              </w:rPr>
            </w:pPr>
            <w:r>
              <w:rPr>
                <w:rFonts w:hint="eastAsia" w:ascii="微软雅黑" w:hAnsi="微软雅黑" w:eastAsia="微软雅黑" w:cs="微软雅黑"/>
                <w:color w:val="auto"/>
                <w:sz w:val="20"/>
                <w:szCs w:val="20"/>
                <w:highlight w:val="none"/>
              </w:rPr>
              <w:t>有效报价与评标基准价一致得</w:t>
            </w:r>
            <w:r>
              <w:rPr>
                <w:rFonts w:hint="eastAsia" w:ascii="微软雅黑" w:hAnsi="微软雅黑" w:eastAsia="微软雅黑" w:cs="微软雅黑"/>
                <w:color w:val="auto"/>
                <w:sz w:val="20"/>
                <w:szCs w:val="20"/>
                <w:highlight w:val="none"/>
                <w:lang w:val="en-US" w:eastAsia="zh-CN"/>
              </w:rPr>
              <w:t>60</w:t>
            </w:r>
            <w:r>
              <w:rPr>
                <w:rFonts w:hint="eastAsia" w:ascii="微软雅黑" w:hAnsi="微软雅黑" w:eastAsia="微软雅黑" w:cs="微软雅黑"/>
                <w:color w:val="auto"/>
                <w:sz w:val="20"/>
                <w:szCs w:val="20"/>
                <w:highlight w:val="none"/>
              </w:rPr>
              <w:t>分，每比评标基准价高一个百分点减</w:t>
            </w:r>
            <w:r>
              <w:rPr>
                <w:rFonts w:hint="eastAsia" w:ascii="微软雅黑" w:hAnsi="微软雅黑" w:eastAsia="微软雅黑" w:cs="微软雅黑"/>
                <w:color w:val="auto"/>
                <w:sz w:val="20"/>
                <w:szCs w:val="20"/>
                <w:highlight w:val="none"/>
                <w:lang w:val="en-US" w:eastAsia="zh-CN"/>
              </w:rPr>
              <w:t>1</w:t>
            </w:r>
            <w:r>
              <w:rPr>
                <w:rFonts w:hint="eastAsia" w:ascii="微软雅黑" w:hAnsi="微软雅黑" w:eastAsia="微软雅黑" w:cs="微软雅黑"/>
                <w:color w:val="auto"/>
                <w:sz w:val="20"/>
                <w:szCs w:val="20"/>
                <w:highlight w:val="none"/>
              </w:rPr>
              <w:t>分，每比评标基准价低一个百分点</w:t>
            </w:r>
            <w:r>
              <w:rPr>
                <w:rFonts w:hint="eastAsia" w:ascii="微软雅黑" w:hAnsi="微软雅黑" w:eastAsia="微软雅黑" w:cs="微软雅黑"/>
                <w:color w:val="auto"/>
                <w:sz w:val="20"/>
                <w:szCs w:val="20"/>
                <w:highlight w:val="none"/>
                <w:lang w:eastAsia="zh-CN"/>
              </w:rPr>
              <w:t>加</w:t>
            </w:r>
            <w:r>
              <w:rPr>
                <w:rFonts w:hint="eastAsia" w:ascii="微软雅黑" w:hAnsi="微软雅黑" w:eastAsia="微软雅黑" w:cs="微软雅黑"/>
                <w:color w:val="auto"/>
                <w:sz w:val="20"/>
                <w:szCs w:val="20"/>
                <w:highlight w:val="none"/>
                <w:lang w:val="en-US" w:eastAsia="zh-CN"/>
              </w:rPr>
              <w:t>1</w:t>
            </w:r>
            <w:r>
              <w:rPr>
                <w:rFonts w:hint="eastAsia" w:ascii="微软雅黑" w:hAnsi="微软雅黑" w:eastAsia="微软雅黑" w:cs="微软雅黑"/>
                <w:color w:val="auto"/>
                <w:sz w:val="20"/>
                <w:szCs w:val="20"/>
                <w:highlight w:val="none"/>
              </w:rPr>
              <w:t>分，</w:t>
            </w:r>
            <w:r>
              <w:rPr>
                <w:rFonts w:hint="eastAsia" w:ascii="微软雅黑" w:hAnsi="微软雅黑" w:eastAsia="微软雅黑" w:cs="微软雅黑"/>
                <w:color w:val="auto"/>
                <w:sz w:val="20"/>
                <w:szCs w:val="20"/>
                <w:highlight w:val="none"/>
                <w:lang w:eastAsia="zh-CN"/>
              </w:rPr>
              <w:t>最高</w:t>
            </w:r>
            <w:r>
              <w:rPr>
                <w:rFonts w:hint="eastAsia" w:ascii="微软雅黑" w:hAnsi="微软雅黑" w:eastAsia="微软雅黑" w:cs="微软雅黑"/>
                <w:color w:val="auto"/>
                <w:sz w:val="20"/>
                <w:szCs w:val="20"/>
                <w:highlight w:val="none"/>
                <w:lang w:val="en-US" w:eastAsia="zh-CN"/>
              </w:rPr>
              <w:t>70分。</w:t>
            </w:r>
            <w:r>
              <w:rPr>
                <w:rFonts w:hint="eastAsia" w:ascii="微软雅黑" w:hAnsi="微软雅黑" w:eastAsia="微软雅黑" w:cs="微软雅黑"/>
                <w:color w:val="auto"/>
                <w:sz w:val="20"/>
                <w:szCs w:val="20"/>
                <w:highlight w:val="none"/>
              </w:rPr>
              <w:t>不足一个百分点按插值法计算。计算过程中所有数据均保留两位小数，第三位四舍五入。</w:t>
            </w:r>
          </w:p>
        </w:tc>
      </w:tr>
    </w:tbl>
    <w:p>
      <w:pPr>
        <w:numPr>
          <w:ilvl w:val="0"/>
          <w:numId w:val="24"/>
        </w:numPr>
        <w:snapToGrid w:val="0"/>
        <w:spacing w:line="480" w:lineRule="auto"/>
        <w:ind w:left="845" w:leftChars="0" w:hanging="425" w:firstLineChars="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如果分项报价中存在缺漏项，则视为缺漏项价格已包含在其他分项报价之中。</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注：</w:t>
      </w: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超过评分标准分数的打分为无效打分。</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 xml:space="preserve">    </w:t>
      </w: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投标人的技术评分最终得分为各评委打分后的平均值各评委打分的总分的平均值（保留两位小数，第三位四舍五入），各评委打分保留一位小数。</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78" w:name="_Toc8738467"/>
      <w:bookmarkStart w:id="79" w:name="_Toc14181"/>
    </w:p>
    <w:p>
      <w:pPr>
        <w:pStyle w:val="4"/>
        <w:rPr>
          <w:rFonts w:hint="eastAsia" w:ascii="微软雅黑" w:hAnsi="微软雅黑" w:eastAsia="微软雅黑"/>
          <w:color w:val="auto"/>
          <w:sz w:val="28"/>
          <w:szCs w:val="28"/>
          <w:highlight w:val="none"/>
          <w:shd w:val="clear" w:color="auto" w:fill="FFFFFF" w:themeFill="background1"/>
          <w:lang w:val="en-US" w:eastAsia="zh-CN"/>
        </w:rPr>
      </w:pPr>
      <w:r>
        <w:rPr>
          <w:rFonts w:hint="eastAsia" w:ascii="微软雅黑" w:hAnsi="微软雅黑" w:eastAsia="微软雅黑"/>
          <w:color w:val="auto"/>
          <w:sz w:val="28"/>
          <w:szCs w:val="28"/>
          <w:highlight w:val="none"/>
          <w:shd w:val="clear" w:color="auto" w:fill="FFFFFF" w:themeFill="background1"/>
          <w:lang w:val="en-US" w:eastAsia="zh-CN"/>
        </w:rPr>
        <w:t>4.2评标结果</w:t>
      </w:r>
      <w:bookmarkEnd w:id="78"/>
      <w:bookmarkEnd w:id="79"/>
    </w:p>
    <w:p>
      <w:pPr>
        <w:numPr>
          <w:ilvl w:val="0"/>
          <w:numId w:val="26"/>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评标委员会按照得分由高到低的顺序推荐中标候选人，并标明排序。</w:t>
      </w:r>
    </w:p>
    <w:p>
      <w:pPr>
        <w:numPr>
          <w:ilvl w:val="0"/>
          <w:numId w:val="26"/>
        </w:numPr>
        <w:snapToGrid w:val="0"/>
        <w:spacing w:line="480" w:lineRule="auto"/>
        <w:ind w:left="425" w:leftChars="0" w:hanging="425" w:firstLineChars="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评标委员会完成评标后，应当向招标人提交书面评标报告和中标候选人名单</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3"/>
        <w:rPr>
          <w:rFonts w:hint="eastAsia" w:ascii="微软雅黑" w:hAnsi="微软雅黑" w:eastAsia="微软雅黑" w:cs="Times New Roman"/>
          <w:color w:val="auto"/>
          <w:sz w:val="32"/>
          <w:szCs w:val="32"/>
          <w:highlight w:val="none"/>
          <w:shd w:val="clear" w:color="auto" w:fill="FFFFFF" w:themeFill="background1"/>
        </w:rPr>
      </w:pPr>
      <w:bookmarkStart w:id="80" w:name="_Toc343775854"/>
      <w:bookmarkStart w:id="81" w:name="_Toc12724"/>
      <w:bookmarkStart w:id="82" w:name="_Toc8738469"/>
      <w:bookmarkStart w:id="83" w:name="_Toc4576"/>
      <w:bookmarkStart w:id="84" w:name="_Toc532479436"/>
      <w:r>
        <w:rPr>
          <w:rFonts w:hint="eastAsia" w:ascii="微软雅黑" w:hAnsi="微软雅黑" w:eastAsia="微软雅黑" w:cs="Times New Roman"/>
          <w:color w:val="auto"/>
          <w:sz w:val="32"/>
          <w:szCs w:val="32"/>
          <w:highlight w:val="none"/>
          <w:shd w:val="clear" w:color="auto" w:fill="FFFFFF" w:themeFill="background1"/>
          <w:lang w:val="en-US" w:eastAsia="zh-CN"/>
        </w:rPr>
        <w:t>5</w:t>
      </w:r>
      <w:bookmarkEnd w:id="80"/>
      <w:bookmarkEnd w:id="81"/>
      <w:r>
        <w:rPr>
          <w:rFonts w:hint="eastAsia" w:ascii="微软雅黑" w:hAnsi="微软雅黑" w:eastAsia="微软雅黑" w:cs="Times New Roman"/>
          <w:color w:val="auto"/>
          <w:sz w:val="32"/>
          <w:szCs w:val="32"/>
          <w:highlight w:val="none"/>
          <w:shd w:val="clear" w:color="auto" w:fill="FFFFFF" w:themeFill="background1"/>
          <w:lang w:val="en-US" w:eastAsia="zh-CN"/>
        </w:rPr>
        <w:t>.</w:t>
      </w:r>
      <w:r>
        <w:rPr>
          <w:rFonts w:hint="eastAsia" w:ascii="微软雅黑" w:hAnsi="微软雅黑" w:eastAsia="微软雅黑" w:cs="Times New Roman"/>
          <w:color w:val="auto"/>
          <w:sz w:val="32"/>
          <w:szCs w:val="32"/>
          <w:highlight w:val="none"/>
          <w:shd w:val="clear" w:color="auto" w:fill="FFFFFF" w:themeFill="background1"/>
        </w:rPr>
        <w:t>响应要求</w:t>
      </w:r>
      <w:bookmarkEnd w:id="82"/>
      <w:bookmarkEnd w:id="83"/>
      <w:bookmarkEnd w:id="84"/>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5" w:name="_Toc8738470"/>
      <w:bookmarkStart w:id="86" w:name="_Toc532479437"/>
      <w:bookmarkStart w:id="87" w:name="_Toc4875"/>
      <w:r>
        <w:rPr>
          <w:rFonts w:hint="eastAsia" w:ascii="微软雅黑" w:hAnsi="微软雅黑" w:eastAsia="微软雅黑"/>
          <w:color w:val="auto"/>
          <w:sz w:val="28"/>
          <w:szCs w:val="28"/>
          <w:highlight w:val="none"/>
          <w:shd w:val="clear" w:color="auto" w:fill="FFFFFF" w:themeFill="background1"/>
          <w:lang w:val="en-US" w:eastAsia="zh-CN"/>
        </w:rPr>
        <w:t>5.1工期响应</w:t>
      </w:r>
      <w:bookmarkEnd w:id="85"/>
      <w:bookmarkEnd w:id="86"/>
      <w:bookmarkEnd w:id="87"/>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项目周期为40天，自合同签订之日起算起。投标方应根据本技术规范书中描述的范围及内容要求提供一份完整的项目进度计划表，以确定各阶段的主要工作内容、成果及其进度。</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8" w:name="_Toc8738471"/>
      <w:bookmarkStart w:id="89" w:name="_Toc25905"/>
      <w:bookmarkStart w:id="90" w:name="_Toc16551"/>
      <w:bookmarkStart w:id="91" w:name="_Toc532479438"/>
      <w:r>
        <w:rPr>
          <w:rFonts w:hint="eastAsia" w:ascii="微软雅黑" w:hAnsi="微软雅黑" w:eastAsia="微软雅黑"/>
          <w:color w:val="auto"/>
          <w:sz w:val="28"/>
          <w:szCs w:val="28"/>
          <w:highlight w:val="none"/>
          <w:shd w:val="clear" w:color="auto" w:fill="FFFFFF" w:themeFill="background1"/>
          <w:lang w:val="en-US" w:eastAsia="zh-CN"/>
        </w:rPr>
        <w:t>5.2付款方式</w:t>
      </w:r>
      <w:bookmarkEnd w:id="88"/>
      <w:bookmarkEnd w:id="89"/>
      <w:bookmarkEnd w:id="90"/>
      <w:bookmarkEnd w:id="91"/>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签订合同后预付总合同金额的40%，项目安装验收完毕15日内支付至合同金额的95%。剩余5%作为工程质保金，待质保期满一年后支付（具体以合同约定为准）。</w:t>
      </w:r>
    </w:p>
    <w:p>
      <w:pPr>
        <w:widowControl/>
        <w:spacing w:line="360" w:lineRule="auto"/>
        <w:ind w:firstLine="42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开票：每次付款前提供开增值税专用发票。</w:t>
      </w:r>
    </w:p>
    <w:p>
      <w:pPr>
        <w:rPr>
          <w:color w:val="auto"/>
          <w:highlight w:val="none"/>
          <w:shd w:val="clear" w:color="auto" w:fill="FFFFFF" w:themeFill="background1"/>
        </w:rPr>
      </w:pPr>
    </w:p>
    <w:p>
      <w:pPr>
        <w:rPr>
          <w:color w:val="auto"/>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2" w:name="_Toc15278"/>
      <w:bookmarkStart w:id="93" w:name="_Toc516486666"/>
      <w:bookmarkStart w:id="94" w:name="_Toc526784181"/>
    </w:p>
    <w:p>
      <w:pPr>
        <w:pStyle w:val="4"/>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lang w:val="en-US" w:eastAsia="zh-CN"/>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r>
        <w:rPr>
          <w:rFonts w:hint="eastAsia" w:ascii="微软雅黑" w:hAnsi="微软雅黑" w:eastAsia="微软雅黑"/>
          <w:color w:val="auto"/>
          <w:sz w:val="28"/>
          <w:szCs w:val="28"/>
          <w:highlight w:val="none"/>
          <w:shd w:val="clear" w:color="auto" w:fill="FFFFFF" w:themeFill="background1"/>
          <w:lang w:val="en-US" w:eastAsia="zh-CN"/>
        </w:rPr>
        <w:t>5.3投标函（规范）</w:t>
      </w:r>
      <w:bookmarkEnd w:id="92"/>
      <w:bookmarkEnd w:id="93"/>
      <w:bookmarkEnd w:id="9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 标 函</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我方己仔细研究、完全理解并满足贵方提供的北国物流园</w:t>
      </w:r>
      <w:r>
        <w:rPr>
          <w:rFonts w:hint="eastAsia" w:ascii="微软雅黑" w:hAnsi="微软雅黑" w:eastAsia="微软雅黑"/>
          <w:color w:val="auto"/>
          <w:szCs w:val="21"/>
          <w:highlight w:val="none"/>
          <w:shd w:val="clear" w:color="auto" w:fill="FFFFFF" w:themeFill="background1"/>
          <w:lang w:val="en-US" w:eastAsia="zh-CN"/>
        </w:rPr>
        <w:t>不锈钢</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采购项目招标文件的全部内容，包括招标文件的修改通知（若有），我方愿按照贵方本次招标文件之要求，按我方提交的投标报价及设备，验收合格并提供</w:t>
      </w:r>
      <w:r>
        <w:rPr>
          <w:rFonts w:ascii="微软雅黑" w:hAnsi="微软雅黑" w:eastAsia="微软雅黑"/>
          <w:color w:val="auto"/>
          <w:szCs w:val="21"/>
          <w:highlight w:val="none"/>
          <w:shd w:val="clear" w:color="auto" w:fill="FFFFFF" w:themeFill="background1"/>
        </w:rPr>
        <w:t>相关支持性服务</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如果贵方有要求，我方愿意进一步提供与本投标有关的任何证据或资料。</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我方同意承担投标过程中产生的所有费用及风险，不因落标而向贵方主张任何费用或权利。</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法定代表人或授权代表签署：</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color w:val="auto"/>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5" w:name="_Toc14709"/>
      <w:bookmarkStart w:id="96" w:name="_Toc374704127"/>
      <w:bookmarkStart w:id="97" w:name="_Toc516486667"/>
      <w:bookmarkStart w:id="98" w:name="_Toc526784182"/>
      <w:r>
        <w:rPr>
          <w:rFonts w:hint="eastAsia" w:ascii="微软雅黑" w:hAnsi="微软雅黑" w:eastAsia="微软雅黑"/>
          <w:color w:val="auto"/>
          <w:sz w:val="28"/>
          <w:szCs w:val="28"/>
          <w:highlight w:val="none"/>
          <w:shd w:val="clear" w:color="auto" w:fill="FFFFFF" w:themeFill="background1"/>
          <w:lang w:val="en-US" w:eastAsia="zh-CN"/>
        </w:rPr>
        <w:t>5.4承诺书（规范）</w:t>
      </w:r>
      <w:bookmarkEnd w:id="95"/>
      <w:bookmarkEnd w:id="96"/>
      <w:bookmarkEnd w:id="97"/>
      <w:bookmarkEnd w:id="98"/>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承 诺 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我方愿意参加贵方设备</w:t>
      </w:r>
      <w:r>
        <w:rPr>
          <w:rFonts w:ascii="微软雅黑" w:hAnsi="微软雅黑" w:eastAsia="微软雅黑"/>
          <w:color w:val="auto"/>
          <w:szCs w:val="21"/>
          <w:highlight w:val="none"/>
          <w:shd w:val="clear" w:color="auto" w:fill="FFFFFF" w:themeFill="background1"/>
        </w:rPr>
        <w:t>采购</w:t>
      </w:r>
      <w:r>
        <w:rPr>
          <w:rFonts w:hint="eastAsia" w:ascii="微软雅黑" w:hAnsi="微软雅黑" w:eastAsia="微软雅黑"/>
          <w:color w:val="auto"/>
          <w:szCs w:val="21"/>
          <w:highlight w:val="none"/>
          <w:shd w:val="clear" w:color="auto" w:fill="FFFFFF" w:themeFill="background1"/>
        </w:rPr>
        <w:t>的竞标。在此，我方郑重承诺如下：</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我方保证此次投标资料真实可信，如有虚假，我方无条件放弃本次投标资格。</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如我方中标，合同一经签署，我方严格按照合同相关规定完成相关工作。未经贵方同意，我方承诺不将</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提供及实施</w:t>
      </w:r>
      <w:r>
        <w:rPr>
          <w:rFonts w:hint="eastAsia" w:ascii="微软雅黑" w:hAnsi="微软雅黑" w:eastAsia="微软雅黑"/>
          <w:color w:val="auto"/>
          <w:szCs w:val="21"/>
          <w:highlight w:val="none"/>
          <w:shd w:val="clear" w:color="auto" w:fill="FFFFFF" w:themeFill="background1"/>
        </w:rPr>
        <w:t>分包转包给其他单位，否则将承担法律责任。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如我方中标，我方承诺按贵方要求实施</w:t>
      </w:r>
      <w:r>
        <w:rPr>
          <w:rFonts w:ascii="微软雅黑" w:hAnsi="微软雅黑" w:eastAsia="微软雅黑"/>
          <w:color w:val="auto"/>
          <w:szCs w:val="21"/>
          <w:highlight w:val="none"/>
          <w:shd w:val="clear" w:color="auto" w:fill="FFFFFF" w:themeFill="background1"/>
        </w:rPr>
        <w:t>周期</w:t>
      </w:r>
      <w:r>
        <w:rPr>
          <w:rFonts w:hint="eastAsia" w:ascii="微软雅黑" w:hAnsi="微软雅黑" w:eastAsia="微软雅黑"/>
          <w:color w:val="auto"/>
          <w:szCs w:val="21"/>
          <w:highlight w:val="none"/>
          <w:shd w:val="clear" w:color="auto" w:fill="FFFFFF" w:themeFill="background1"/>
        </w:rPr>
        <w:t>按时完成</w:t>
      </w:r>
      <w:r>
        <w:rPr>
          <w:rFonts w:hint="eastAsia" w:ascii="微软雅黑" w:hAnsi="微软雅黑" w:eastAsia="微软雅黑"/>
          <w:color w:val="auto"/>
          <w:szCs w:val="21"/>
          <w:highlight w:val="none"/>
          <w:shd w:val="clear" w:color="auto" w:fill="FFFFFF" w:themeFill="background1"/>
          <w:lang w:eastAsia="zh-CN"/>
        </w:rPr>
        <w:t>本项目</w:t>
      </w:r>
      <w:r>
        <w:rPr>
          <w:rFonts w:ascii="微软雅黑" w:hAnsi="微软雅黑" w:eastAsia="微软雅黑"/>
          <w:color w:val="auto"/>
          <w:szCs w:val="21"/>
          <w:highlight w:val="none"/>
          <w:shd w:val="clear" w:color="auto" w:fill="FFFFFF" w:themeFill="background1"/>
        </w:rPr>
        <w:t>的</w:t>
      </w:r>
      <w:r>
        <w:rPr>
          <w:rFonts w:hint="eastAsia" w:ascii="微软雅黑" w:hAnsi="微软雅黑" w:eastAsia="微软雅黑"/>
          <w:color w:val="auto"/>
          <w:szCs w:val="21"/>
          <w:highlight w:val="none"/>
          <w:shd w:val="clear" w:color="auto" w:fill="FFFFFF" w:themeFill="background1"/>
        </w:rPr>
        <w:t>安装</w:t>
      </w:r>
      <w:r>
        <w:rPr>
          <w:rFonts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rPr>
        <w:t>调试</w:t>
      </w:r>
      <w:r>
        <w:rPr>
          <w:rFonts w:ascii="微软雅黑" w:hAnsi="微软雅黑" w:eastAsia="微软雅黑"/>
          <w:color w:val="auto"/>
          <w:szCs w:val="21"/>
          <w:highlight w:val="none"/>
          <w:shd w:val="clear" w:color="auto" w:fill="FFFFFF" w:themeFill="background1"/>
        </w:rPr>
        <w:t>、开发及实施</w:t>
      </w:r>
      <w:r>
        <w:rPr>
          <w:rFonts w:hint="eastAsia" w:ascii="微软雅黑" w:hAnsi="微软雅黑" w:eastAsia="微软雅黑"/>
          <w:color w:val="auto"/>
          <w:szCs w:val="21"/>
          <w:highlight w:val="none"/>
          <w:shd w:val="clear" w:color="auto" w:fill="FFFFFF" w:themeFill="background1"/>
        </w:rPr>
        <w:t>，并确保</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服务标准及质量</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我方承诺：无论我司是否中标，我司将对本次招标的全部过程及内容严格保密。</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7</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我方的其他承诺：</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本公司承诺服从招标人北国商城股份有限公司物流产业园（石家庄）分公司的管理，并遵守国家有关法律法规的规定。本公司承诺严格遵守向招标人提供所有</w:t>
      </w:r>
      <w:r>
        <w:rPr>
          <w:rFonts w:hint="eastAsia" w:ascii="微软雅黑" w:hAnsi="微软雅黑" w:eastAsia="微软雅黑"/>
          <w:color w:val="auto"/>
          <w:szCs w:val="21"/>
          <w:highlight w:val="none"/>
          <w:shd w:val="clear" w:color="auto" w:fill="FFFFFF" w:themeFill="background1"/>
          <w:lang w:eastAsia="zh-CN"/>
        </w:rPr>
        <w:t>设备及服务</w:t>
      </w:r>
      <w:r>
        <w:rPr>
          <w:rFonts w:hint="eastAsia" w:ascii="微软雅黑" w:hAnsi="微软雅黑" w:eastAsia="微软雅黑"/>
          <w:color w:val="auto"/>
          <w:szCs w:val="21"/>
          <w:highlight w:val="none"/>
          <w:shd w:val="clear" w:color="auto" w:fill="FFFFFF" w:themeFill="background1"/>
        </w:rPr>
        <w:t>与投标书内容一致。</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9" w:name="_Toc516486668"/>
      <w:bookmarkStart w:id="100" w:name="_Toc374704128"/>
      <w:bookmarkStart w:id="101" w:name="_Toc17468"/>
      <w:bookmarkStart w:id="102" w:name="_Toc526784183"/>
      <w:r>
        <w:rPr>
          <w:rFonts w:hint="eastAsia" w:ascii="微软雅黑" w:hAnsi="微软雅黑" w:eastAsia="微软雅黑"/>
          <w:color w:val="auto"/>
          <w:sz w:val="28"/>
          <w:szCs w:val="28"/>
          <w:highlight w:val="none"/>
          <w:shd w:val="clear" w:color="auto" w:fill="FFFFFF" w:themeFill="background1"/>
          <w:lang w:val="en-US" w:eastAsia="zh-CN"/>
        </w:rPr>
        <w:t>5.5投标人企业信息和联络方式一览表（规范）</w:t>
      </w:r>
      <w:bookmarkEnd w:id="99"/>
      <w:bookmarkEnd w:id="100"/>
      <w:bookmarkEnd w:id="101"/>
      <w:bookmarkEnd w:id="102"/>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投标人企业信息和联络方式一览表</w:t>
      </w:r>
    </w:p>
    <w:tbl>
      <w:tblPr>
        <w:tblStyle w:val="17"/>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投标人名称</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2</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3</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4</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总部传真</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5</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开户名称：</w:t>
            </w:r>
          </w:p>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开户银行：</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6</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7</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8</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9</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10</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商务洽商期间公司高层来人姓名、职务及联系方式</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bl>
    <w:p>
      <w:pPr>
        <w:spacing w:line="360" w:lineRule="auto"/>
        <w:ind w:right="31" w:rightChars="15"/>
        <w:jc w:val="left"/>
        <w:rPr>
          <w:rFonts w:ascii="微软雅黑" w:hAnsi="微软雅黑" w:eastAsia="微软雅黑"/>
          <w:color w:val="auto"/>
          <w:szCs w:val="21"/>
          <w:highlight w:val="none"/>
          <w:shd w:val="clear" w:color="auto" w:fill="FFFFFF" w:themeFill="background1"/>
        </w:rPr>
      </w:pPr>
    </w:p>
    <w:p>
      <w:pPr>
        <w:pStyle w:val="12"/>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2"/>
        <w:wordWrap w:val="0"/>
        <w:snapToGrid w:val="0"/>
        <w:spacing w:before="120" w:line="360" w:lineRule="auto"/>
        <w:ind w:right="420"/>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法定代表人或授权代表签署</w:t>
      </w:r>
      <w:r>
        <w:rPr>
          <w:rFonts w:hint="eastAsia" w:ascii="微软雅黑" w:hAnsi="微软雅黑" w:eastAsia="微软雅黑"/>
          <w:bCs/>
          <w:color w:val="auto"/>
          <w:highlight w:val="none"/>
          <w:shd w:val="clear" w:color="auto" w:fill="FFFFFF" w:themeFill="background1"/>
        </w:rPr>
        <w:t>：</w:t>
      </w:r>
    </w:p>
    <w:p>
      <w:pPr>
        <w:tabs>
          <w:tab w:val="left" w:pos="720"/>
          <w:tab w:val="left" w:pos="900"/>
        </w:tabs>
        <w:spacing w:line="360" w:lineRule="auto"/>
        <w:ind w:right="31" w:rightChars="15"/>
        <w:jc w:val="cente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03" w:name="_Toc374704129"/>
      <w:bookmarkStart w:id="104" w:name="_Toc516486669"/>
      <w:bookmarkStart w:id="105" w:name="_Toc526784184"/>
      <w:bookmarkStart w:id="106" w:name="_Toc25990"/>
      <w:r>
        <w:rPr>
          <w:rFonts w:hint="eastAsia" w:ascii="微软雅黑" w:hAnsi="微软雅黑" w:eastAsia="微软雅黑"/>
          <w:color w:val="auto"/>
          <w:sz w:val="28"/>
          <w:szCs w:val="28"/>
          <w:highlight w:val="none"/>
          <w:shd w:val="clear" w:color="auto" w:fill="FFFFFF" w:themeFill="background1"/>
          <w:lang w:val="en-US" w:eastAsia="zh-CN"/>
        </w:rPr>
        <w:t>5.6法定代表人身份证明书（规范）</w:t>
      </w:r>
      <w:bookmarkEnd w:id="103"/>
      <w:bookmarkEnd w:id="104"/>
      <w:bookmarkEnd w:id="105"/>
      <w:bookmarkEnd w:id="106"/>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法定</w:t>
      </w:r>
      <w:r>
        <w:rPr>
          <w:rFonts w:ascii="微软雅黑" w:hAnsi="微软雅黑" w:eastAsia="微软雅黑"/>
          <w:b/>
          <w:color w:val="auto"/>
          <w:szCs w:val="21"/>
          <w:highlight w:val="none"/>
          <w:shd w:val="clear" w:color="auto" w:fill="FFFFFF" w:themeFill="background1"/>
        </w:rPr>
        <w:t>代表人身份证明书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单位名称：</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单位性质：</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地    址：</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成立时间：年月日</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经营期限： </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姓名：性别：年龄：职务：</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系</w:t>
      </w: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的法定代表人。（后附身份证复印件）</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特此证明。</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07" w:name="_Toc516486670"/>
      <w:bookmarkStart w:id="108" w:name="_Toc374704130"/>
      <w:bookmarkStart w:id="109" w:name="_Toc526784185"/>
      <w:bookmarkStart w:id="110" w:name="_Toc4858"/>
      <w:r>
        <w:rPr>
          <w:rFonts w:hint="eastAsia" w:ascii="微软雅黑" w:hAnsi="微软雅黑" w:eastAsia="微软雅黑"/>
          <w:color w:val="auto"/>
          <w:sz w:val="28"/>
          <w:szCs w:val="28"/>
          <w:highlight w:val="none"/>
          <w:shd w:val="clear" w:color="auto" w:fill="FFFFFF" w:themeFill="background1"/>
          <w:lang w:val="en-US" w:eastAsia="zh-CN"/>
        </w:rPr>
        <w:t>5.7企业法人及法定代表人授权委托书（规范）</w:t>
      </w:r>
      <w:bookmarkEnd w:id="107"/>
      <w:bookmarkEnd w:id="108"/>
      <w:bookmarkEnd w:id="109"/>
      <w:bookmarkEnd w:id="110"/>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企业法人及法定代表人授权委托书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法定代表人授权</w:t>
      </w:r>
      <w:r>
        <w:rPr>
          <w:rFonts w:hint="eastAsia" w:ascii="微软雅黑" w:hAnsi="微软雅黑" w:eastAsia="微软雅黑"/>
          <w:color w:val="auto"/>
          <w:szCs w:val="21"/>
          <w:highlight w:val="none"/>
          <w:u w:val="single"/>
          <w:shd w:val="clear" w:color="auto" w:fill="FFFFFF" w:themeFill="background1"/>
        </w:rPr>
        <w:t xml:space="preserve"> （全权代表姓名、职务） </w:t>
      </w:r>
      <w:r>
        <w:rPr>
          <w:rFonts w:hint="eastAsia" w:ascii="微软雅黑" w:hAnsi="微软雅黑" w:eastAsia="微软雅黑"/>
          <w:color w:val="auto"/>
          <w:szCs w:val="21"/>
          <w:highlight w:val="none"/>
          <w:shd w:val="clear" w:color="auto" w:fill="FFFFFF" w:themeFill="background1"/>
        </w:rPr>
        <w:t>为全权代表，参加贵方组织的</w:t>
      </w:r>
      <w:r>
        <w:rPr>
          <w:rFonts w:hint="eastAsia" w:ascii="微软雅黑" w:hAnsi="微软雅黑" w:eastAsia="微软雅黑"/>
          <w:color w:val="auto"/>
          <w:szCs w:val="21"/>
          <w:highlight w:val="none"/>
          <w:u w:val="single"/>
          <w:shd w:val="clear" w:color="auto" w:fill="FFFFFF" w:themeFill="background1"/>
        </w:rPr>
        <w:t xml:space="preserve">北国商城股份有限公司物流产业园（石家庄）分公司 </w:t>
      </w:r>
      <w:r>
        <w:rPr>
          <w:rFonts w:hint="eastAsia" w:ascii="微软雅黑" w:hAnsi="微软雅黑" w:eastAsia="微软雅黑"/>
          <w:color w:val="auto"/>
          <w:szCs w:val="21"/>
          <w:highlight w:val="none"/>
          <w:shd w:val="clear" w:color="auto" w:fill="FFFFFF" w:themeFill="background1"/>
        </w:rPr>
        <w:t>招标活动，全权处理我方在投标活动中的一切事宜。</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法定代表人（签字）：</w:t>
      </w: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spacing w:line="360" w:lineRule="auto"/>
        <w:jc w:val="right"/>
        <w:rPr>
          <w:rFonts w:ascii="微软雅黑" w:hAnsi="微软雅黑" w:eastAsia="微软雅黑"/>
          <w:color w:val="auto"/>
          <w:szCs w:val="21"/>
          <w:highlight w:val="none"/>
          <w:shd w:val="clear" w:color="auto" w:fill="FFFFFF" w:themeFill="background1"/>
        </w:rPr>
      </w:pPr>
    </w:p>
    <w:p>
      <w:pPr>
        <w:spacing w:line="360" w:lineRule="auto"/>
        <w:jc w:val="right"/>
        <w:rPr>
          <w:rFonts w:ascii="微软雅黑" w:hAnsi="微软雅黑" w:eastAsia="微软雅黑"/>
          <w:color w:val="auto"/>
          <w:szCs w:val="21"/>
          <w:highlight w:val="none"/>
          <w:shd w:val="clear" w:color="auto" w:fill="FFFFFF" w:themeFill="background1"/>
        </w:rPr>
      </w:pPr>
    </w:p>
    <w:p>
      <w:pPr>
        <w:wordWrap w:val="0"/>
        <w:spacing w:line="360" w:lineRule="auto"/>
        <w:ind w:right="9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全权代表（签字）：</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rPr>
          <w:rFonts w:ascii="微软雅黑" w:hAnsi="微软雅黑" w:eastAsia="微软雅黑"/>
          <w:color w:val="auto"/>
          <w:szCs w:val="21"/>
          <w:highlight w:val="none"/>
          <w:shd w:val="clear" w:color="auto" w:fill="FFFFFF" w:themeFill="background1"/>
        </w:rPr>
      </w:pP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1" w:name="_Toc516486671"/>
      <w:bookmarkStart w:id="112" w:name="_Toc526784186"/>
      <w:bookmarkStart w:id="113" w:name="_Toc374704131"/>
      <w:bookmarkStart w:id="114" w:name="_Toc5148"/>
      <w:r>
        <w:rPr>
          <w:rFonts w:hint="eastAsia" w:ascii="微软雅黑" w:hAnsi="微软雅黑" w:eastAsia="微软雅黑"/>
          <w:color w:val="auto"/>
          <w:sz w:val="28"/>
          <w:szCs w:val="28"/>
          <w:highlight w:val="none"/>
          <w:shd w:val="clear" w:color="auto" w:fill="FFFFFF" w:themeFill="background1"/>
          <w:lang w:val="en-US" w:eastAsia="zh-CN"/>
        </w:rPr>
        <w:t>5.8廉政须知回执（规范）</w:t>
      </w:r>
      <w:bookmarkEnd w:id="111"/>
      <w:bookmarkEnd w:id="112"/>
      <w:bookmarkEnd w:id="113"/>
      <w:bookmarkEnd w:id="11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廉 正 须 知</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合作单位在参加投标时，应向招标工作人员领取《廉正须知》，并将回执签字、盖章后送达招标工作人员。</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回 执</w:t>
      </w:r>
    </w:p>
    <w:p>
      <w:pPr>
        <w:spacing w:line="360" w:lineRule="auto"/>
        <w:ind w:firstLine="42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收件人（公章）：</w:t>
      </w:r>
    </w:p>
    <w:p>
      <w:pPr>
        <w:wordWrap w:val="0"/>
        <w:spacing w:line="360" w:lineRule="auto"/>
        <w:ind w:right="4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代 表 人：</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5" w:name="_Toc526784187"/>
      <w:bookmarkStart w:id="116" w:name="_Toc374704133"/>
      <w:bookmarkStart w:id="117" w:name="_Toc31723"/>
      <w:bookmarkStart w:id="118" w:name="_Toc516486672"/>
      <w:r>
        <w:rPr>
          <w:rFonts w:hint="eastAsia" w:ascii="微软雅黑" w:hAnsi="微软雅黑" w:eastAsia="微软雅黑"/>
          <w:color w:val="auto"/>
          <w:sz w:val="28"/>
          <w:szCs w:val="28"/>
          <w:highlight w:val="none"/>
          <w:shd w:val="clear" w:color="auto" w:fill="FFFFFF" w:themeFill="background1"/>
          <w:lang w:val="en-US" w:eastAsia="zh-CN"/>
        </w:rPr>
        <w:t>5.9分项价格表（规范）</w:t>
      </w:r>
      <w:bookmarkEnd w:id="115"/>
      <w:bookmarkEnd w:id="116"/>
      <w:bookmarkEnd w:id="117"/>
      <w:bookmarkEnd w:id="118"/>
    </w:p>
    <w:p>
      <w:pPr>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分项</w:t>
      </w:r>
      <w:r>
        <w:rPr>
          <w:rFonts w:ascii="微软雅黑" w:hAnsi="微软雅黑" w:eastAsia="微软雅黑"/>
          <w:b/>
          <w:color w:val="auto"/>
          <w:szCs w:val="21"/>
          <w:highlight w:val="none"/>
          <w:shd w:val="clear" w:color="auto" w:fill="FFFFFF" w:themeFill="background1"/>
        </w:rPr>
        <w:t>价格表</w:t>
      </w:r>
    </w:p>
    <w:tbl>
      <w:tblPr>
        <w:tblStyle w:val="17"/>
        <w:tblW w:w="8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4"/>
        <w:gridCol w:w="1935"/>
        <w:gridCol w:w="1206"/>
        <w:gridCol w:w="765"/>
        <w:gridCol w:w="1080"/>
        <w:gridCol w:w="135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93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部件名称</w:t>
            </w:r>
          </w:p>
        </w:tc>
        <w:tc>
          <w:tcPr>
            <w:tcW w:w="1206"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型号规格</w:t>
            </w:r>
          </w:p>
        </w:tc>
        <w:tc>
          <w:tcPr>
            <w:tcW w:w="76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材质</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产地品牌</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合计</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税率</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1"/>
                <w:szCs w:val="21"/>
                <w:highlight w:val="none"/>
                <w:u w:val="none"/>
              </w:rPr>
            </w:pPr>
            <w:r>
              <w:rPr>
                <w:rFonts w:hint="eastAsia" w:ascii="微软雅黑" w:hAnsi="微软雅黑" w:eastAsia="微软雅黑" w:cs="微软雅黑"/>
                <w:b/>
                <w:bCs/>
                <w:i w:val="0"/>
                <w:iCs w:val="0"/>
                <w:color w:val="auto"/>
                <w:kern w:val="0"/>
                <w:sz w:val="21"/>
                <w:szCs w:val="21"/>
                <w:highlight w:val="none"/>
                <w:u w:val="none"/>
                <w:lang w:val="en-US" w:eastAsia="zh-CN" w:bidi="ar"/>
              </w:rPr>
              <w:t>总计(大写)</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2F2F2"/>
            <w:vAlign w:val="center"/>
          </w:tcPr>
          <w:p>
            <w:pPr>
              <w:jc w:val="center"/>
              <w:rPr>
                <w:rFonts w:hint="eastAsia" w:ascii="微软雅黑" w:hAnsi="微软雅黑" w:eastAsia="微软雅黑" w:cs="微软雅黑"/>
                <w:b/>
                <w:bCs/>
                <w:i w:val="0"/>
                <w:iCs w:val="0"/>
                <w:color w:val="auto"/>
                <w:sz w:val="21"/>
                <w:szCs w:val="21"/>
                <w:highlight w:val="none"/>
                <w:u w:val="none"/>
              </w:rPr>
            </w:pPr>
          </w:p>
        </w:tc>
      </w:tr>
    </w:tbl>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注解：以上项目报价均以含税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金额报价，无费用可不填写。</w:t>
      </w:r>
    </w:p>
    <w:p>
      <w:pPr>
        <w:pStyle w:val="12"/>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2"/>
        <w:wordWrap w:val="0"/>
        <w:snapToGrid w:val="0"/>
        <w:spacing w:before="120" w:line="360" w:lineRule="auto"/>
        <w:ind w:right="420"/>
        <w:jc w:val="right"/>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法定代表人或授权代表签署</w:t>
      </w:r>
      <w:r>
        <w:rPr>
          <w:rFonts w:hint="eastAsia" w:ascii="微软雅黑" w:hAnsi="微软雅黑" w:eastAsia="微软雅黑"/>
          <w:bCs/>
          <w:color w:val="auto"/>
          <w:highlight w:val="none"/>
          <w:shd w:val="clear" w:color="auto" w:fill="FFFFFF" w:themeFill="background1"/>
        </w:rPr>
        <w:t>：</w:t>
      </w:r>
    </w:p>
    <w:p>
      <w:pP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widowControl/>
        <w:jc w:val="left"/>
        <w:rPr>
          <w:rFonts w:ascii="微软雅黑" w:hAnsi="微软雅黑" w:eastAsia="微软雅黑"/>
          <w:bCs/>
          <w:color w:val="auto"/>
          <w:szCs w:val="21"/>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9" w:name="_Toc11212"/>
      <w:r>
        <w:rPr>
          <w:rFonts w:hint="eastAsia" w:ascii="微软雅黑" w:hAnsi="微软雅黑" w:eastAsia="微软雅黑"/>
          <w:color w:val="auto"/>
          <w:sz w:val="28"/>
          <w:szCs w:val="28"/>
          <w:highlight w:val="none"/>
          <w:shd w:val="clear" w:color="auto" w:fill="FFFFFF" w:themeFill="background1"/>
          <w:lang w:val="en-US" w:eastAsia="zh-CN"/>
        </w:rPr>
        <w:t>5.</w:t>
      </w:r>
      <w:bookmarkStart w:id="120" w:name="_Toc16857"/>
      <w:bookmarkStart w:id="121" w:name="_Toc532479450"/>
      <w:bookmarkStart w:id="122" w:name="_Toc8738483"/>
      <w:r>
        <w:rPr>
          <w:rFonts w:hint="eastAsia" w:ascii="微软雅黑" w:hAnsi="微软雅黑" w:eastAsia="微软雅黑"/>
          <w:color w:val="auto"/>
          <w:sz w:val="28"/>
          <w:szCs w:val="28"/>
          <w:highlight w:val="none"/>
          <w:shd w:val="clear" w:color="auto" w:fill="FFFFFF" w:themeFill="background1"/>
          <w:lang w:val="en-US" w:eastAsia="zh-CN"/>
        </w:rPr>
        <w:t>10技术偏离表（规范）</w:t>
      </w:r>
      <w:bookmarkEnd w:id="119"/>
      <w:bookmarkEnd w:id="120"/>
      <w:bookmarkEnd w:id="121"/>
      <w:bookmarkEnd w:id="122"/>
    </w:p>
    <w:p>
      <w:pPr>
        <w:rPr>
          <w:rFonts w:hint="eastAsia" w:ascii="微软雅黑" w:hAnsi="微软雅黑" w:eastAsia="微软雅黑" w:cs="微软雅黑"/>
          <w:color w:val="auto"/>
          <w:sz w:val="20"/>
          <w:szCs w:val="20"/>
          <w:highlight w:val="none"/>
        </w:rPr>
      </w:pPr>
    </w:p>
    <w:tbl>
      <w:tblPr>
        <w:tblStyle w:val="17"/>
        <w:tblW w:w="8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625"/>
        <w:gridCol w:w="1410"/>
        <w:gridCol w:w="187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108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序号</w:t>
            </w:r>
          </w:p>
        </w:tc>
        <w:tc>
          <w:tcPr>
            <w:tcW w:w="1625"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功能名称</w:t>
            </w:r>
          </w:p>
        </w:tc>
        <w:tc>
          <w:tcPr>
            <w:tcW w:w="141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功能要求</w:t>
            </w:r>
          </w:p>
        </w:tc>
        <w:tc>
          <w:tcPr>
            <w:tcW w:w="1875"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投标能满足情况</w:t>
            </w:r>
          </w:p>
        </w:tc>
        <w:tc>
          <w:tcPr>
            <w:tcW w:w="2070" w:type="dxa"/>
            <w:noWrap w:val="0"/>
            <w:vAlign w:val="center"/>
          </w:tcPr>
          <w:p>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pStyle w:val="15"/>
              <w:tabs>
                <w:tab w:val="clear" w:pos="4153"/>
                <w:tab w:val="clear" w:pos="8306"/>
              </w:tabs>
              <w:spacing w:line="360" w:lineRule="auto"/>
              <w:jc w:val="both"/>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bl>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注：</w:t>
      </w:r>
      <w:r>
        <w:rPr>
          <w:rFonts w:hint="eastAsia" w:ascii="微软雅黑" w:hAnsi="微软雅黑" w:eastAsia="微软雅黑" w:cs="微软雅黑"/>
          <w:color w:val="auto"/>
          <w:sz w:val="20"/>
          <w:szCs w:val="20"/>
          <w:highlight w:val="none"/>
          <w:lang w:eastAsia="zh-CN"/>
        </w:rPr>
        <w:t>技术</w:t>
      </w:r>
      <w:r>
        <w:rPr>
          <w:rFonts w:hint="eastAsia" w:ascii="微软雅黑" w:hAnsi="微软雅黑" w:eastAsia="微软雅黑" w:cs="微软雅黑"/>
          <w:color w:val="auto"/>
          <w:sz w:val="20"/>
          <w:szCs w:val="20"/>
          <w:highlight w:val="none"/>
        </w:rPr>
        <w:t>偏离填写本表，没有填写的视为完全响应招标文件要求。</w:t>
      </w:r>
    </w:p>
    <w:p>
      <w:pPr>
        <w:pStyle w:val="12"/>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2"/>
        <w:wordWrap w:val="0"/>
        <w:snapToGrid w:val="0"/>
        <w:spacing w:before="120" w:line="360" w:lineRule="auto"/>
        <w:ind w:right="60"/>
        <w:jc w:val="righ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投标人名称（盖章）：         </w:t>
      </w:r>
    </w:p>
    <w:p>
      <w:pPr>
        <w:pStyle w:val="12"/>
        <w:wordWrap w:val="0"/>
        <w:snapToGrid w:val="0"/>
        <w:spacing w:before="120" w:line="360" w:lineRule="auto"/>
        <w:ind w:right="48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 xml:space="preserve"> 法定代表人或授权代表（签字或盖章）：</w:t>
      </w:r>
    </w:p>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年   月   日</w:t>
      </w:r>
    </w:p>
    <w:p>
      <w:pPr>
        <w:pStyle w:val="36"/>
        <w:spacing w:line="360" w:lineRule="exact"/>
        <w:rPr>
          <w:rFonts w:hint="eastAsia" w:ascii="微软雅黑" w:hAnsi="微软雅黑" w:eastAsia="微软雅黑" w:cs="微软雅黑"/>
          <w:b/>
          <w:bCs/>
          <w:color w:val="auto"/>
          <w:sz w:val="20"/>
          <w:szCs w:val="20"/>
          <w:highlight w:val="none"/>
          <w:shd w:val="clear" w:color="auto" w:fill="FFFFFF" w:themeFill="background1"/>
          <w:lang w:val="en-US" w:eastAsia="zh-CN"/>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23" w:name="_Toc11115"/>
      <w:bookmarkStart w:id="124" w:name="_Toc8738484"/>
      <w:bookmarkStart w:id="125" w:name="_Toc118"/>
      <w:bookmarkStart w:id="126" w:name="_Toc532479451"/>
      <w:r>
        <w:rPr>
          <w:rFonts w:hint="eastAsia" w:ascii="微软雅黑" w:hAnsi="微软雅黑" w:eastAsia="微软雅黑"/>
          <w:color w:val="auto"/>
          <w:sz w:val="28"/>
          <w:szCs w:val="28"/>
          <w:highlight w:val="none"/>
          <w:shd w:val="clear" w:color="auto" w:fill="FFFFFF" w:themeFill="background1"/>
          <w:lang w:val="en-US" w:eastAsia="zh-CN"/>
        </w:rPr>
        <w:t>5.11商务偏离表（规范）</w:t>
      </w:r>
      <w:bookmarkEnd w:id="123"/>
      <w:bookmarkEnd w:id="124"/>
      <w:bookmarkEnd w:id="125"/>
      <w:bookmarkEnd w:id="126"/>
    </w:p>
    <w:tbl>
      <w:tblPr>
        <w:tblStyle w:val="1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520"/>
        <w:gridCol w:w="288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108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序号</w:t>
            </w: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招标文件条款号</w:t>
            </w:r>
          </w:p>
        </w:tc>
        <w:tc>
          <w:tcPr>
            <w:tcW w:w="2880" w:type="dxa"/>
            <w:noWrap w:val="0"/>
            <w:vAlign w:val="center"/>
          </w:tcPr>
          <w:p>
            <w:pPr>
              <w:widowControl/>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投标文件相应内容</w:t>
            </w:r>
          </w:p>
        </w:tc>
        <w:tc>
          <w:tcPr>
            <w:tcW w:w="2520" w:type="dxa"/>
            <w:noWrap w:val="0"/>
            <w:vAlign w:val="center"/>
          </w:tcPr>
          <w:p>
            <w:pPr>
              <w:widowControl/>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pStyle w:val="15"/>
              <w:tabs>
                <w:tab w:val="clear" w:pos="4153"/>
                <w:tab w:val="clear" w:pos="8306"/>
              </w:tabs>
              <w:spacing w:line="360" w:lineRule="auto"/>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bl>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注：商务偏离填写本表，没有填写的视为完全响应招标文件要求。</w:t>
      </w:r>
    </w:p>
    <w:p>
      <w:pPr>
        <w:pStyle w:val="12"/>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2"/>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2"/>
        <w:wordWrap w:val="0"/>
        <w:snapToGrid w:val="0"/>
        <w:spacing w:before="120" w:line="360" w:lineRule="auto"/>
        <w:ind w:right="60"/>
        <w:jc w:val="righ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投标人名称（盖章）：         </w:t>
      </w:r>
    </w:p>
    <w:p>
      <w:pPr>
        <w:pStyle w:val="12"/>
        <w:wordWrap w:val="0"/>
        <w:snapToGrid w:val="0"/>
        <w:spacing w:before="120" w:line="360" w:lineRule="auto"/>
        <w:ind w:right="48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法定代表人或授权代表（签字或盖章）：</w:t>
      </w:r>
    </w:p>
    <w:p>
      <w:pPr>
        <w:spacing w:line="360" w:lineRule="auto"/>
        <w:rPr>
          <w:rFonts w:hint="eastAsia" w:ascii="微软雅黑" w:hAnsi="微软雅黑" w:eastAsia="微软雅黑" w:cs="微软雅黑"/>
          <w:b/>
          <w:bCs/>
          <w:color w:val="auto"/>
          <w:sz w:val="20"/>
          <w:szCs w:val="20"/>
          <w:highlight w:val="none"/>
          <w:shd w:val="clear" w:color="auto" w:fill="FFFFFF" w:themeFill="background1"/>
        </w:rPr>
      </w:pPr>
      <w:r>
        <w:rPr>
          <w:rFonts w:hint="eastAsia" w:ascii="微软雅黑" w:hAnsi="微软雅黑" w:eastAsia="微软雅黑" w:cs="微软雅黑"/>
          <w:color w:val="auto"/>
          <w:sz w:val="20"/>
          <w:szCs w:val="20"/>
          <w:highlight w:val="none"/>
        </w:rPr>
        <w:t xml:space="preserve">                                                 日期：    </w:t>
      </w:r>
      <w:r>
        <w:rPr>
          <w:rFonts w:hint="eastAsia" w:ascii="微软雅黑" w:hAnsi="微软雅黑" w:eastAsia="微软雅黑" w:cs="微软雅黑"/>
          <w:bCs/>
          <w:color w:val="auto"/>
          <w:sz w:val="20"/>
          <w:szCs w:val="20"/>
          <w:highlight w:val="none"/>
        </w:rPr>
        <w:t>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27" w:name="_Toc28474"/>
      <w:bookmarkStart w:id="128" w:name="_Toc14188"/>
      <w:r>
        <w:rPr>
          <w:rFonts w:hint="eastAsia" w:ascii="微软雅黑" w:hAnsi="微软雅黑" w:eastAsia="微软雅黑"/>
          <w:color w:val="auto"/>
          <w:sz w:val="28"/>
          <w:szCs w:val="28"/>
          <w:highlight w:val="none"/>
          <w:shd w:val="clear" w:color="auto" w:fill="FFFFFF" w:themeFill="background1"/>
          <w:lang w:val="en-US" w:eastAsia="zh-CN"/>
        </w:rPr>
        <w:t>5.12 设备配件清单</w:t>
      </w:r>
      <w:bookmarkEnd w:id="127"/>
      <w:bookmarkEnd w:id="128"/>
    </w:p>
    <w:p>
      <w:pPr>
        <w:pStyle w:val="46"/>
        <w:numPr>
          <w:ilvl w:val="0"/>
          <w:numId w:val="0"/>
        </w:numPr>
        <w:spacing w:line="276" w:lineRule="auto"/>
        <w:ind w:left="567" w:hanging="567"/>
        <w:jc w:val="center"/>
        <w:rPr>
          <w:rFonts w:hint="eastAsia" w:ascii="微软雅黑" w:hAnsi="微软雅黑" w:eastAsia="微软雅黑" w:cs="微软雅黑"/>
          <w:b/>
          <w:bCs w:val="0"/>
          <w:color w:val="auto"/>
          <w:sz w:val="20"/>
          <w:szCs w:val="20"/>
          <w:highlight w:val="none"/>
        </w:rPr>
      </w:pPr>
      <w:bookmarkStart w:id="129" w:name="_Toc26369"/>
      <w:bookmarkStart w:id="130" w:name="_Toc8120"/>
      <w:bookmarkStart w:id="131" w:name="_Toc18751"/>
      <w:bookmarkStart w:id="132" w:name="_Toc19065"/>
      <w: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t>设备配件清单</w:t>
      </w:r>
      <w:bookmarkEnd w:id="129"/>
      <w:bookmarkEnd w:id="130"/>
      <w:bookmarkEnd w:id="131"/>
      <w:bookmarkEnd w:id="132"/>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投标人（全称）：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联系人：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联系电话：                                 传真/邮箱：</w:t>
      </w:r>
    </w:p>
    <w:tbl>
      <w:tblPr>
        <w:tblStyle w:val="17"/>
        <w:tblW w:w="9393" w:type="dxa"/>
        <w:tblInd w:w="93" w:type="dxa"/>
        <w:tblLayout w:type="fixed"/>
        <w:tblCellMar>
          <w:top w:w="0" w:type="dxa"/>
          <w:left w:w="108" w:type="dxa"/>
          <w:bottom w:w="0" w:type="dxa"/>
          <w:right w:w="108" w:type="dxa"/>
        </w:tblCellMar>
      </w:tblPr>
      <w:tblGrid>
        <w:gridCol w:w="1419"/>
        <w:gridCol w:w="2031"/>
        <w:gridCol w:w="1803"/>
        <w:gridCol w:w="1291"/>
        <w:gridCol w:w="1202"/>
        <w:gridCol w:w="1647"/>
      </w:tblGrid>
      <w:tr>
        <w:tblPrEx>
          <w:tblCellMar>
            <w:top w:w="0" w:type="dxa"/>
            <w:left w:w="108" w:type="dxa"/>
            <w:bottom w:w="0" w:type="dxa"/>
            <w:right w:w="108" w:type="dxa"/>
          </w:tblCellMar>
        </w:tblPrEx>
        <w:trPr>
          <w:trHeight w:val="664" w:hRule="atLeast"/>
        </w:trPr>
        <w:tc>
          <w:tcPr>
            <w:tcW w:w="141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零件号</w:t>
            </w:r>
          </w:p>
        </w:tc>
        <w:tc>
          <w:tcPr>
            <w:tcW w:w="2031"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配件名称</w:t>
            </w:r>
          </w:p>
        </w:tc>
        <w:tc>
          <w:tcPr>
            <w:tcW w:w="1803"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品 牌</w:t>
            </w:r>
          </w:p>
        </w:tc>
        <w:tc>
          <w:tcPr>
            <w:tcW w:w="1291"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型号</w:t>
            </w:r>
          </w:p>
        </w:tc>
        <w:tc>
          <w:tcPr>
            <w:tcW w:w="1202"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单  价</w:t>
            </w:r>
          </w:p>
        </w:tc>
        <w:tc>
          <w:tcPr>
            <w:tcW w:w="1647"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是否为易损件</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bl>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我公司承诺：</w:t>
      </w:r>
    </w:p>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1、我公司对有权代理人就上述产品信息的填报、修改等予以认可。</w:t>
      </w:r>
    </w:p>
    <w:p>
      <w:pPr>
        <w:widowControl/>
        <w:numPr>
          <w:ilvl w:val="0"/>
          <w:numId w:val="27"/>
        </w:numPr>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以上价格为单独购买价格，报价为到厂含税价（增值税专用发票） </w:t>
      </w:r>
    </w:p>
    <w:p>
      <w:pPr>
        <w:widowControl/>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3、报价单未承诺内容按合同约定办理。</w:t>
      </w:r>
    </w:p>
    <w:p>
      <w:pPr>
        <w:pStyle w:val="12"/>
        <w:snapToGrid w:val="0"/>
        <w:spacing w:before="120" w:line="276" w:lineRule="auto"/>
        <w:jc w:val="left"/>
        <w:rPr>
          <w:rFonts w:hint="eastAsia" w:ascii="微软雅黑" w:hAnsi="微软雅黑" w:eastAsia="微软雅黑" w:cs="微软雅黑"/>
          <w:bCs/>
          <w:color w:val="auto"/>
          <w:sz w:val="20"/>
          <w:szCs w:val="20"/>
          <w:highlight w:val="none"/>
          <w:u w:val="single"/>
        </w:rPr>
      </w:pPr>
      <w:r>
        <w:rPr>
          <w:rFonts w:hint="eastAsia" w:ascii="微软雅黑" w:hAnsi="微软雅黑" w:eastAsia="微软雅黑" w:cs="微软雅黑"/>
          <w:color w:val="auto"/>
          <w:sz w:val="20"/>
          <w:szCs w:val="20"/>
          <w:highlight w:val="none"/>
        </w:rPr>
        <w:t>投标人名称（盖章）</w:t>
      </w:r>
      <w:r>
        <w:rPr>
          <w:rFonts w:hint="eastAsia" w:ascii="微软雅黑" w:hAnsi="微软雅黑" w:eastAsia="微软雅黑" w:cs="微软雅黑"/>
          <w:bCs/>
          <w:color w:val="auto"/>
          <w:sz w:val="20"/>
          <w:szCs w:val="20"/>
          <w:highlight w:val="none"/>
        </w:rPr>
        <w:t>：</w:t>
      </w:r>
    </w:p>
    <w:p>
      <w:pPr>
        <w:pStyle w:val="12"/>
        <w:wordWrap w:val="0"/>
        <w:snapToGrid w:val="0"/>
        <w:spacing w:before="120" w:line="276" w:lineRule="auto"/>
        <w:jc w:val="left"/>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color w:val="auto"/>
          <w:sz w:val="20"/>
          <w:szCs w:val="20"/>
          <w:highlight w:val="none"/>
        </w:rPr>
        <w:t>法定代表人或授权代表签署</w:t>
      </w:r>
      <w:r>
        <w:rPr>
          <w:rFonts w:hint="eastAsia" w:ascii="微软雅黑" w:hAnsi="微软雅黑" w:eastAsia="微软雅黑" w:cs="微软雅黑"/>
          <w:bCs/>
          <w:color w:val="auto"/>
          <w:sz w:val="20"/>
          <w:szCs w:val="20"/>
          <w:highlight w:val="none"/>
        </w:rPr>
        <w:t>：</w:t>
      </w:r>
    </w:p>
    <w:p>
      <w:pPr>
        <w:tabs>
          <w:tab w:val="left" w:pos="720"/>
          <w:tab w:val="left" w:pos="900"/>
        </w:tabs>
        <w:spacing w:line="276" w:lineRule="auto"/>
        <w:ind w:right="31" w:rightChars="1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33" w:name="_Toc14502"/>
      <w:r>
        <w:rPr>
          <w:rFonts w:hint="eastAsia" w:ascii="微软雅黑" w:hAnsi="微软雅黑" w:eastAsia="微软雅黑"/>
          <w:color w:val="auto"/>
          <w:sz w:val="28"/>
          <w:szCs w:val="28"/>
          <w:highlight w:val="none"/>
          <w:shd w:val="clear" w:color="auto" w:fill="FFFFFF" w:themeFill="background1"/>
          <w:lang w:val="en-US" w:eastAsia="zh-CN"/>
        </w:rPr>
        <w:t>5.13 设备消耗品清单</w:t>
      </w:r>
      <w:bookmarkEnd w:id="133"/>
    </w:p>
    <w:p>
      <w:pPr>
        <w:pStyle w:val="46"/>
        <w:numPr>
          <w:ilvl w:val="0"/>
          <w:numId w:val="0"/>
        </w:numPr>
        <w:spacing w:line="276" w:lineRule="auto"/>
        <w:ind w:left="567" w:hanging="567"/>
        <w:jc w:val="cente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pPr>
      <w:bookmarkStart w:id="134" w:name="_Toc20967"/>
      <w:bookmarkStart w:id="135" w:name="_Toc21847"/>
      <w:bookmarkStart w:id="136" w:name="_Toc2833"/>
      <w:bookmarkStart w:id="137" w:name="_Toc21134"/>
      <w: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t>设备消耗品清单</w:t>
      </w:r>
      <w:bookmarkEnd w:id="134"/>
      <w:bookmarkEnd w:id="135"/>
      <w:bookmarkEnd w:id="136"/>
      <w:bookmarkEnd w:id="137"/>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投标人（全称）：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联系人：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联系电话：                                 传真/邮箱：</w:t>
      </w:r>
    </w:p>
    <w:tbl>
      <w:tblPr>
        <w:tblStyle w:val="17"/>
        <w:tblW w:w="0" w:type="auto"/>
        <w:jc w:val="center"/>
        <w:tblLayout w:type="fixed"/>
        <w:tblCellMar>
          <w:top w:w="0" w:type="dxa"/>
          <w:left w:w="108" w:type="dxa"/>
          <w:bottom w:w="0" w:type="dxa"/>
          <w:right w:w="108" w:type="dxa"/>
        </w:tblCellMar>
      </w:tblPr>
      <w:tblGrid>
        <w:gridCol w:w="1619"/>
        <w:gridCol w:w="1751"/>
        <w:gridCol w:w="1772"/>
        <w:gridCol w:w="1444"/>
        <w:gridCol w:w="1181"/>
        <w:gridCol w:w="1619"/>
      </w:tblGrid>
      <w:tr>
        <w:tblPrEx>
          <w:tblCellMar>
            <w:top w:w="0" w:type="dxa"/>
            <w:left w:w="108" w:type="dxa"/>
            <w:bottom w:w="0" w:type="dxa"/>
            <w:right w:w="108" w:type="dxa"/>
          </w:tblCellMar>
        </w:tblPrEx>
        <w:trPr>
          <w:trHeight w:val="674" w:hRule="atLeast"/>
          <w:jc w:val="center"/>
        </w:trPr>
        <w:tc>
          <w:tcPr>
            <w:tcW w:w="161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产品代码</w:t>
            </w:r>
          </w:p>
        </w:tc>
        <w:tc>
          <w:tcPr>
            <w:tcW w:w="175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消耗品名称</w:t>
            </w:r>
          </w:p>
        </w:tc>
        <w:tc>
          <w:tcPr>
            <w:tcW w:w="1772"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品 牌</w:t>
            </w:r>
          </w:p>
        </w:tc>
        <w:tc>
          <w:tcPr>
            <w:tcW w:w="1444"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型号</w:t>
            </w:r>
          </w:p>
        </w:tc>
        <w:tc>
          <w:tcPr>
            <w:tcW w:w="118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单  价</w:t>
            </w:r>
          </w:p>
        </w:tc>
        <w:tc>
          <w:tcPr>
            <w:tcW w:w="1619"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使用寿命</w:t>
            </w: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bl>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1、我公司对有权代理人就上述产品信息的填报、修改等予以认可。</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以上价格为单独购买价格，报价为到厂含税价（增值税专用发票）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3、报价单未承诺内容按合同约定办理。</w:t>
      </w:r>
    </w:p>
    <w:p>
      <w:pPr>
        <w:widowControl/>
        <w:spacing w:line="360" w:lineRule="auto"/>
        <w:jc w:val="left"/>
        <w:rPr>
          <w:rFonts w:hint="eastAsia" w:ascii="微软雅黑" w:hAnsi="微软雅黑" w:eastAsia="微软雅黑" w:cs="微软雅黑"/>
          <w:color w:val="auto"/>
          <w:kern w:val="0"/>
          <w:sz w:val="20"/>
          <w:szCs w:val="20"/>
          <w:highlight w:val="none"/>
        </w:rPr>
      </w:pP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投标人名称（盖章）：</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法定代表人或授权代表签署：</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日期：    年    月     日</w:t>
      </w:r>
    </w:p>
    <w:p>
      <w:pPr>
        <w:pStyle w:val="36"/>
        <w:spacing w:line="360" w:lineRule="exact"/>
        <w:rPr>
          <w:rFonts w:hint="eastAsia" w:ascii="微软雅黑" w:hAnsi="微软雅黑" w:eastAsia="微软雅黑" w:cs="微软雅黑"/>
          <w:b/>
          <w:bCs/>
          <w:color w:val="auto"/>
          <w:sz w:val="20"/>
          <w:szCs w:val="20"/>
          <w:highlight w:val="none"/>
          <w:shd w:val="clear" w:color="auto" w:fill="FFFFFF" w:themeFill="background1"/>
        </w:rPr>
      </w:pPr>
    </w:p>
    <w:p>
      <w:pPr>
        <w:pStyle w:val="36"/>
        <w:spacing w:line="360" w:lineRule="exact"/>
        <w:rPr>
          <w:rFonts w:hint="eastAsia" w:ascii="微软雅黑" w:hAnsi="微软雅黑" w:eastAsia="微软雅黑" w:cs="微软雅黑"/>
          <w:b/>
          <w:bCs/>
          <w:color w:val="auto"/>
          <w:sz w:val="20"/>
          <w:szCs w:val="20"/>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38" w:name="_Toc27388"/>
      <w:r>
        <w:rPr>
          <w:rFonts w:hint="eastAsia" w:ascii="微软雅黑" w:hAnsi="微软雅黑" w:eastAsia="微软雅黑"/>
          <w:color w:val="auto"/>
          <w:sz w:val="28"/>
          <w:szCs w:val="28"/>
          <w:highlight w:val="none"/>
          <w:shd w:val="clear" w:color="auto" w:fill="FFFFFF" w:themeFill="background1"/>
          <w:lang w:val="en-US" w:eastAsia="zh-CN"/>
        </w:rPr>
        <w:t>6.附件</w:t>
      </w:r>
      <w:bookmarkEnd w:id="138"/>
    </w:p>
    <w:p>
      <w:pPr>
        <w:pStyle w:val="36"/>
        <w:spacing w:line="360" w:lineRule="exact"/>
        <w:rPr>
          <w:rFonts w:hint="default" w:asciiTheme="minorEastAsia" w:hAnsiTheme="minorEastAsia" w:eastAsiaTheme="minorEastAsia" w:cstheme="minorEastAsia"/>
          <w:b/>
          <w:bCs/>
          <w:color w:val="auto"/>
          <w:sz w:val="28"/>
          <w:szCs w:val="28"/>
          <w:highlight w:val="none"/>
        </w:rPr>
      </w:pPr>
      <w:r>
        <w:rPr>
          <w:rStyle w:val="37"/>
          <w:rFonts w:hint="eastAsia" w:ascii="微软雅黑" w:hAnsi="微软雅黑" w:eastAsia="微软雅黑" w:cs="微软雅黑"/>
          <w:bCs/>
          <w:color w:val="auto"/>
          <w:sz w:val="20"/>
          <w:szCs w:val="20"/>
          <w:highlight w:val="none"/>
          <w:shd w:val="clear" w:color="auto" w:fill="FFFFFF" w:themeFill="background1"/>
          <w:lang w:val="zh-TW"/>
        </w:rPr>
        <w:t xml:space="preserve">                  </w:t>
      </w:r>
      <w:bookmarkStart w:id="139" w:name="_Toc310845151"/>
      <w:bookmarkStart w:id="140" w:name="_Toc22221"/>
    </w:p>
    <w:p>
      <w:pPr>
        <w:pStyle w:val="36"/>
        <w:spacing w:line="360" w:lineRule="exact"/>
        <w:jc w:val="center"/>
        <w:rPr>
          <w:rStyle w:val="37"/>
          <w:rFonts w:hint="default" w:ascii="宋体" w:hAnsi="宋体" w:eastAsia="宋体" w:cstheme="minorEastAsia"/>
          <w:bCs/>
          <w:color w:val="auto"/>
          <w:sz w:val="30"/>
          <w:szCs w:val="30"/>
          <w:highlight w:val="none"/>
          <w:lang w:val="zh-TW"/>
        </w:rPr>
      </w:pPr>
      <w:r>
        <w:rPr>
          <w:rStyle w:val="37"/>
          <w:rFonts w:ascii="宋体" w:hAnsi="宋体" w:eastAsia="宋体" w:cstheme="minorEastAsia"/>
          <w:bCs/>
          <w:color w:val="auto"/>
          <w:sz w:val="30"/>
          <w:szCs w:val="30"/>
          <w:highlight w:val="none"/>
          <w:lang w:val="zh-TW"/>
        </w:rPr>
        <w:t xml:space="preserve">                                合同编号：</w:t>
      </w: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auto"/>
        <w:ind w:right="29"/>
        <w:jc w:val="center"/>
        <w:outlineLvl w:val="0"/>
        <w:rPr>
          <w:rStyle w:val="37"/>
          <w:rFonts w:hint="default" w:asciiTheme="minorEastAsia" w:hAnsiTheme="minorEastAsia" w:eastAsiaTheme="minorEastAsia" w:cstheme="minorEastAsia"/>
          <w:b/>
          <w:bCs/>
          <w:color w:val="auto"/>
          <w:sz w:val="40"/>
          <w:szCs w:val="40"/>
          <w:highlight w:val="none"/>
          <w:u w:color="050606"/>
          <w:lang w:val="en-US" w:eastAsia="zh-CN"/>
        </w:rPr>
      </w:pPr>
      <w:bookmarkStart w:id="141" w:name="_Toc397"/>
      <w:bookmarkStart w:id="142" w:name="_Toc29938"/>
      <w:r>
        <w:rPr>
          <w:rStyle w:val="37"/>
          <w:rFonts w:asciiTheme="minorEastAsia" w:hAnsiTheme="minorEastAsia" w:eastAsiaTheme="minorEastAsia" w:cstheme="minorEastAsia"/>
          <w:b/>
          <w:bCs/>
          <w:color w:val="auto"/>
          <w:sz w:val="40"/>
          <w:szCs w:val="40"/>
          <w:highlight w:val="none"/>
          <w:u w:color="050606"/>
          <w:lang w:val="zh-TW"/>
        </w:rPr>
        <w:t>北国商城股份有限</w:t>
      </w:r>
      <w:r>
        <w:rPr>
          <w:rStyle w:val="37"/>
          <w:rFonts w:asciiTheme="minorEastAsia" w:hAnsiTheme="minorEastAsia" w:eastAsiaTheme="minorEastAsia" w:cstheme="minorEastAsia"/>
          <w:b/>
          <w:bCs/>
          <w:color w:val="auto"/>
          <w:sz w:val="40"/>
          <w:szCs w:val="40"/>
          <w:highlight w:val="none"/>
          <w:u w:color="050606"/>
          <w:lang w:val="zh-TW" w:eastAsia="zh-TW"/>
        </w:rPr>
        <w:t>公司</w:t>
      </w:r>
      <w:r>
        <w:rPr>
          <w:rStyle w:val="37"/>
          <w:rFonts w:hint="eastAsia" w:asciiTheme="minorEastAsia" w:hAnsiTheme="minorEastAsia" w:eastAsiaTheme="minorEastAsia" w:cstheme="minorEastAsia"/>
          <w:b/>
          <w:bCs/>
          <w:color w:val="auto"/>
          <w:sz w:val="40"/>
          <w:szCs w:val="40"/>
          <w:highlight w:val="none"/>
          <w:u w:color="050606"/>
          <w:lang w:val="zh-TW" w:eastAsia="zh-CN"/>
        </w:rPr>
        <w:t>物流产业园（石家庄）分公司</w:t>
      </w:r>
      <w:bookmarkEnd w:id="141"/>
      <w:bookmarkEnd w:id="142"/>
    </w:p>
    <w:p>
      <w:pPr>
        <w:pStyle w:val="36"/>
        <w:spacing w:line="360" w:lineRule="auto"/>
        <w:ind w:right="29"/>
        <w:jc w:val="center"/>
        <w:rPr>
          <w:rStyle w:val="37"/>
          <w:rFonts w:hint="default" w:asciiTheme="minorEastAsia" w:hAnsiTheme="minorEastAsia" w:eastAsiaTheme="minorEastAsia" w:cstheme="minorEastAsia"/>
          <w:b/>
          <w:bCs/>
          <w:color w:val="auto"/>
          <w:sz w:val="40"/>
          <w:szCs w:val="40"/>
          <w:highlight w:val="none"/>
          <w:u w:color="050606"/>
        </w:rPr>
      </w:pPr>
      <w:r>
        <w:rPr>
          <w:rStyle w:val="37"/>
          <w:rFonts w:asciiTheme="minorEastAsia" w:hAnsiTheme="minorEastAsia" w:eastAsiaTheme="minorEastAsia" w:cstheme="minorEastAsia"/>
          <w:b/>
          <w:bCs/>
          <w:color w:val="auto"/>
          <w:sz w:val="40"/>
          <w:szCs w:val="40"/>
          <w:highlight w:val="none"/>
          <w:u w:color="050606"/>
          <w:lang w:val="zh-TW" w:eastAsia="zh-TW"/>
        </w:rPr>
        <w:t>采购合同</w:t>
      </w: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24"/>
          <w:szCs w:val="24"/>
          <w:highlight w:val="none"/>
          <w:u w:color="050606"/>
          <w:lang w:val="zh-TW"/>
        </w:rPr>
      </w:pPr>
    </w:p>
    <w:p>
      <w:pPr>
        <w:pStyle w:val="36"/>
        <w:spacing w:line="360" w:lineRule="exact"/>
        <w:ind w:left="646" w:right="29"/>
        <w:rPr>
          <w:rStyle w:val="37"/>
          <w:rFonts w:hint="eastAsia" w:asciiTheme="minorEastAsia" w:hAnsiTheme="minorEastAsia" w:eastAsiaTheme="minorEastAsia" w:cstheme="minorEastAsia"/>
          <w:color w:val="auto"/>
          <w:sz w:val="24"/>
          <w:szCs w:val="24"/>
          <w:highlight w:val="none"/>
          <w:u w:color="050606"/>
          <w:lang w:val="zh-TW" w:eastAsia="zh-CN"/>
        </w:rPr>
      </w:pPr>
      <w:r>
        <w:rPr>
          <w:rStyle w:val="37"/>
          <w:rFonts w:asciiTheme="minorEastAsia" w:hAnsiTheme="minorEastAsia" w:eastAsiaTheme="minorEastAsia" w:cstheme="minorEastAsia"/>
          <w:color w:val="auto"/>
          <w:sz w:val="24"/>
          <w:szCs w:val="24"/>
          <w:highlight w:val="none"/>
          <w:u w:color="050606"/>
          <w:lang w:val="zh-TW" w:eastAsia="zh-TW"/>
        </w:rPr>
        <w:t>甲方：</w:t>
      </w:r>
      <w:r>
        <w:rPr>
          <w:rStyle w:val="37"/>
          <w:rFonts w:asciiTheme="minorEastAsia" w:hAnsiTheme="minorEastAsia" w:eastAsiaTheme="minorEastAsia" w:cstheme="minorEastAsia"/>
          <w:color w:val="auto"/>
          <w:sz w:val="24"/>
          <w:szCs w:val="24"/>
          <w:highlight w:val="none"/>
          <w:u w:color="050606"/>
          <w:lang w:val="zh-TW"/>
        </w:rPr>
        <w:t>北国商城股份有限公司</w:t>
      </w:r>
      <w:r>
        <w:rPr>
          <w:rStyle w:val="37"/>
          <w:rFonts w:hint="eastAsia" w:asciiTheme="minorEastAsia" w:hAnsiTheme="minorEastAsia" w:eastAsiaTheme="minorEastAsia" w:cstheme="minorEastAsia"/>
          <w:color w:val="auto"/>
          <w:sz w:val="24"/>
          <w:szCs w:val="24"/>
          <w:highlight w:val="none"/>
          <w:u w:color="050606"/>
          <w:lang w:val="zh-TW" w:eastAsia="zh-CN"/>
        </w:rPr>
        <w:t>物流产业园（石家庄）分公司</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乙方：</w:t>
      </w:r>
    </w:p>
    <w:p>
      <w:pPr>
        <w:pStyle w:val="36"/>
        <w:spacing w:line="360" w:lineRule="exact"/>
        <w:ind w:left="646" w:right="29"/>
        <w:rPr>
          <w:rStyle w:val="37"/>
          <w:rFonts w:asciiTheme="minorEastAsia" w:hAnsiTheme="minorEastAsia" w:eastAsiaTheme="minorEastAsia" w:cstheme="minorEastAsia"/>
          <w:color w:val="auto"/>
          <w:sz w:val="24"/>
          <w:szCs w:val="24"/>
          <w:highlight w:val="none"/>
          <w:u w:color="050606"/>
          <w:lang w:val="zh-TW" w:eastAsia="zh-TW"/>
        </w:rPr>
      </w:pPr>
      <w:r>
        <w:rPr>
          <w:rStyle w:val="37"/>
          <w:rFonts w:asciiTheme="minorEastAsia" w:hAnsiTheme="minorEastAsia" w:eastAsiaTheme="minorEastAsia" w:cstheme="minorEastAsia"/>
          <w:color w:val="auto"/>
          <w:sz w:val="24"/>
          <w:szCs w:val="24"/>
          <w:highlight w:val="none"/>
          <w:u w:color="050606"/>
          <w:lang w:val="zh-TW" w:eastAsia="zh-TW"/>
        </w:rPr>
        <w:t>签约地点：</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 xml:space="preserve">签订日期：年  月 </w:t>
      </w:r>
      <w:r>
        <w:rPr>
          <w:rStyle w:val="37"/>
          <w:rFonts w:asciiTheme="minorEastAsia" w:hAnsiTheme="minorEastAsia" w:eastAsiaTheme="minorEastAsia" w:cstheme="minorEastAsia"/>
          <w:color w:val="auto"/>
          <w:sz w:val="24"/>
          <w:szCs w:val="24"/>
          <w:highlight w:val="none"/>
          <w:u w:color="050606"/>
          <w:lang w:val="zh-TW"/>
        </w:rPr>
        <w:t>日</w:t>
      </w: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bookmarkStart w:id="143" w:name="_Toc26740"/>
      <w:bookmarkStart w:id="144" w:name="_Toc3137"/>
      <w:r>
        <w:rPr>
          <w:rStyle w:val="37"/>
          <w:rFonts w:asciiTheme="minorEastAsia" w:hAnsiTheme="minorEastAsia" w:eastAsiaTheme="minorEastAsia" w:cstheme="minorEastAsia"/>
          <w:b/>
          <w:bCs/>
          <w:color w:val="auto"/>
          <w:sz w:val="32"/>
          <w:szCs w:val="32"/>
          <w:highlight w:val="none"/>
          <w:u w:color="050606"/>
          <w:lang w:val="zh-TW" w:eastAsia="zh-TW"/>
        </w:rPr>
        <w:t>合同目录</w:t>
      </w:r>
      <w:bookmarkEnd w:id="143"/>
      <w:bookmarkEnd w:id="144"/>
    </w:p>
    <w:p>
      <w:pPr>
        <w:pStyle w:val="29"/>
        <w:spacing w:line="360" w:lineRule="exact"/>
        <w:ind w:left="377" w:right="29" w:firstLine="0"/>
        <w:outlineLvl w:val="0"/>
        <w:rPr>
          <w:rStyle w:val="37"/>
          <w:rFonts w:hint="default" w:asciiTheme="minorEastAsia" w:hAnsiTheme="minorEastAsia" w:eastAsiaTheme="minorEastAsia" w:cstheme="minorEastAsia"/>
          <w:color w:val="auto"/>
          <w:sz w:val="21"/>
          <w:szCs w:val="21"/>
          <w:highlight w:val="none"/>
          <w:u w:color="050606"/>
          <w:lang w:val="zh-TW" w:eastAsia="zh-TW"/>
        </w:rPr>
      </w:pPr>
    </w:p>
    <w:p>
      <w:pPr>
        <w:pStyle w:val="36"/>
        <w:spacing w:line="36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第一条 合同内容</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第二条 合同范围</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第三条 合同工期</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第四条 合同价款</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第五条 付款方式</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第六条 甲方责任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第七条 乙方责任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第八条 货物验收</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 xml:space="preserve">第九条 </w:t>
      </w:r>
      <w:r>
        <w:rPr>
          <w:rStyle w:val="37"/>
          <w:rFonts w:asciiTheme="minorEastAsia" w:hAnsiTheme="minorEastAsia" w:eastAsiaTheme="minorEastAsia" w:cstheme="minorEastAsia"/>
          <w:color w:val="auto"/>
          <w:sz w:val="28"/>
          <w:szCs w:val="28"/>
          <w:highlight w:val="none"/>
          <w:lang w:val="zh-TW" w:eastAsia="zh-TW"/>
        </w:rPr>
        <w:t>货物供应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第十条 知识产权</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rPr>
      </w:pPr>
      <w:r>
        <w:rPr>
          <w:rStyle w:val="37"/>
          <w:rFonts w:asciiTheme="minorEastAsia" w:hAnsiTheme="minorEastAsia" w:eastAsiaTheme="minorEastAsia" w:cstheme="minorEastAsia"/>
          <w:color w:val="auto"/>
          <w:sz w:val="28"/>
          <w:szCs w:val="28"/>
          <w:highlight w:val="none"/>
          <w:u w:color="050606"/>
          <w:lang w:val="zh-TW"/>
        </w:rPr>
        <w:t>第十一条</w:t>
      </w:r>
      <w:r>
        <w:rPr>
          <w:rStyle w:val="37"/>
          <w:rFonts w:asciiTheme="minorEastAsia" w:hAnsiTheme="minorEastAsia" w:eastAsiaTheme="minorEastAsia" w:cstheme="minorEastAsia"/>
          <w:color w:val="auto"/>
          <w:sz w:val="28"/>
          <w:szCs w:val="28"/>
          <w:highlight w:val="none"/>
          <w:u w:color="050606"/>
        </w:rPr>
        <w:t xml:space="preserve"> 履约保证金</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二</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质量保修</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三</w:t>
      </w:r>
      <w:r>
        <w:rPr>
          <w:rStyle w:val="37"/>
          <w:rFonts w:asciiTheme="minorEastAsia" w:hAnsiTheme="minorEastAsia" w:eastAsiaTheme="minorEastAsia" w:cstheme="minorEastAsia"/>
          <w:color w:val="auto"/>
          <w:sz w:val="28"/>
          <w:szCs w:val="28"/>
          <w:highlight w:val="none"/>
          <w:u w:color="050606"/>
          <w:lang w:val="zh-TW" w:eastAsia="zh-TW"/>
        </w:rPr>
        <w:t>条 违约和索赔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四</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争议的解决</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五</w:t>
      </w:r>
      <w:r>
        <w:rPr>
          <w:rStyle w:val="37"/>
          <w:rFonts w:asciiTheme="minorEastAsia" w:hAnsiTheme="minorEastAsia" w:eastAsiaTheme="minorEastAsia" w:cstheme="minorEastAsia"/>
          <w:color w:val="auto"/>
          <w:sz w:val="28"/>
          <w:szCs w:val="28"/>
          <w:highlight w:val="none"/>
          <w:lang w:val="zh-TW" w:eastAsia="zh-TW"/>
        </w:rPr>
        <w:t>条 合同生效与终止</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六</w:t>
      </w:r>
      <w:r>
        <w:rPr>
          <w:rStyle w:val="37"/>
          <w:rFonts w:asciiTheme="minorEastAsia" w:hAnsiTheme="minorEastAsia" w:eastAsiaTheme="minorEastAsia" w:cstheme="minorEastAsia"/>
          <w:color w:val="auto"/>
          <w:sz w:val="28"/>
          <w:szCs w:val="28"/>
          <w:highlight w:val="none"/>
          <w:lang w:val="zh-TW" w:eastAsia="zh-TW"/>
        </w:rPr>
        <w:t>条 不可抗力</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七</w:t>
      </w:r>
      <w:r>
        <w:rPr>
          <w:rStyle w:val="37"/>
          <w:rFonts w:asciiTheme="minorEastAsia" w:hAnsiTheme="minorEastAsia" w:eastAsiaTheme="minorEastAsia" w:cstheme="minorEastAsia"/>
          <w:color w:val="auto"/>
          <w:sz w:val="28"/>
          <w:szCs w:val="28"/>
          <w:highlight w:val="none"/>
          <w:lang w:val="zh-TW" w:eastAsia="zh-TW"/>
        </w:rPr>
        <w:t>条 其他内容</w:t>
      </w:r>
    </w:p>
    <w:p>
      <w:pPr>
        <w:pStyle w:val="36"/>
        <w:spacing w:line="360" w:lineRule="auto"/>
        <w:ind w:right="29"/>
        <w:rPr>
          <w:rStyle w:val="37"/>
          <w:rFonts w:eastAsiaTheme="minorEastAsia"/>
          <w:color w:val="auto"/>
          <w:sz w:val="28"/>
          <w:szCs w:val="28"/>
          <w:highlight w:val="none"/>
          <w:lang w:val="zh-TW" w:eastAsia="zh-TW"/>
        </w:rPr>
      </w:pPr>
      <w:r>
        <w:rPr>
          <w:rStyle w:val="37"/>
          <w:rFonts w:eastAsiaTheme="minorEastAsia"/>
          <w:color w:val="auto"/>
          <w:sz w:val="28"/>
          <w:szCs w:val="28"/>
          <w:highlight w:val="none"/>
          <w:lang w:val="zh-TW" w:eastAsia="zh-TW"/>
        </w:rPr>
        <w:t>第十八条   产品清单</w:t>
      </w:r>
    </w:p>
    <w:p>
      <w:pPr>
        <w:pStyle w:val="36"/>
        <w:spacing w:line="360" w:lineRule="auto"/>
        <w:ind w:right="29"/>
        <w:rPr>
          <w:rStyle w:val="37"/>
          <w:rFonts w:eastAsiaTheme="minorEastAsia"/>
          <w:color w:val="auto"/>
          <w:sz w:val="28"/>
          <w:szCs w:val="28"/>
          <w:highlight w:val="none"/>
          <w:lang w:val="zh-TW" w:eastAsia="zh-TW"/>
        </w:rPr>
      </w:pPr>
    </w:p>
    <w:p>
      <w:pPr>
        <w:pStyle w:val="36"/>
        <w:spacing w:line="360" w:lineRule="auto"/>
        <w:ind w:right="29"/>
        <w:rPr>
          <w:rStyle w:val="37"/>
          <w:rFonts w:eastAsiaTheme="minorEastAsia"/>
          <w:color w:val="auto"/>
          <w:sz w:val="28"/>
          <w:szCs w:val="28"/>
          <w:highlight w:val="none"/>
          <w:lang w:val="zh-TW" w:eastAsia="zh-TW"/>
        </w:rPr>
      </w:pPr>
    </w:p>
    <w:p>
      <w:pPr>
        <w:pStyle w:val="36"/>
        <w:spacing w:line="360" w:lineRule="auto"/>
        <w:ind w:right="29"/>
        <w:rPr>
          <w:rStyle w:val="37"/>
          <w:rFonts w:hint="default" w:eastAsiaTheme="minorEastAsia"/>
          <w:color w:val="auto"/>
          <w:sz w:val="28"/>
          <w:szCs w:val="28"/>
          <w:highlight w:val="none"/>
          <w:lang w:val="zh-TW" w:eastAsia="zh-TW"/>
        </w:rPr>
      </w:pPr>
    </w:p>
    <w:p>
      <w:pPr>
        <w:pStyle w:val="36"/>
        <w:spacing w:line="360" w:lineRule="exact"/>
        <w:ind w:right="29"/>
        <w:rPr>
          <w:rStyle w:val="37"/>
          <w:rFonts w:hint="default" w:asciiTheme="minorEastAsia" w:hAnsiTheme="minorEastAsia" w:eastAsiaTheme="minorEastAsia" w:cstheme="minorEastAsia"/>
          <w:color w:val="auto"/>
          <w:kern w:val="144"/>
          <w:highlight w:val="none"/>
          <w:u w:val="single" w:color="050606"/>
          <w:lang w:val="zh-TW"/>
        </w:rPr>
      </w:pPr>
      <w:r>
        <w:rPr>
          <w:rStyle w:val="37"/>
          <w:rFonts w:asciiTheme="minorEastAsia" w:hAnsiTheme="minorEastAsia" w:eastAsiaTheme="minorEastAsia" w:cstheme="minorEastAsia"/>
          <w:color w:val="auto"/>
          <w:highlight w:val="none"/>
          <w:lang w:val="zh-TW" w:eastAsia="zh-TW"/>
        </w:rPr>
        <w:t>甲方：</w:t>
      </w:r>
    </w:p>
    <w:p>
      <w:pPr>
        <w:pStyle w:val="36"/>
        <w:spacing w:line="360" w:lineRule="exact"/>
        <w:ind w:right="29"/>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乙方: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依照《中华人民共和国民法典》及其它有关法律、法规等，遵循平等、自愿、公平和诚实信用的原则明确双方的权利、义务，合同双方</w:t>
      </w:r>
      <w:r>
        <w:rPr>
          <w:rStyle w:val="37"/>
          <w:rFonts w:asciiTheme="minorEastAsia" w:hAnsiTheme="minorEastAsia" w:eastAsiaTheme="minorEastAsia" w:cstheme="minorEastAsia"/>
          <w:color w:val="auto"/>
          <w:highlight w:val="none"/>
          <w:lang w:val="zh-TW"/>
        </w:rPr>
        <w:t>就北国商城股份有限</w:t>
      </w:r>
      <w:r>
        <w:rPr>
          <w:rStyle w:val="37"/>
          <w:rFonts w:asciiTheme="minorEastAsia" w:hAnsiTheme="minorEastAsia" w:eastAsiaTheme="minorEastAsia" w:cstheme="minorEastAsia"/>
          <w:color w:val="auto"/>
          <w:highlight w:val="none"/>
          <w:lang w:val="zh-TW" w:eastAsia="zh-TW"/>
        </w:rPr>
        <w:t>公司项目相关事宜经协商达成一致，自愿订立本合同。</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第一条  合同内容</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1.1乙方承担</w:t>
      </w:r>
      <w:r>
        <w:rPr>
          <w:rStyle w:val="37"/>
          <w:rFonts w:asciiTheme="minorEastAsia" w:hAnsiTheme="minorEastAsia" w:eastAsiaTheme="minorEastAsia" w:cstheme="minorEastAsia"/>
          <w:color w:val="auto"/>
          <w:highlight w:val="none"/>
          <w:lang w:val="zh-TW"/>
        </w:rPr>
        <w:t>北国商城股份有限</w:t>
      </w:r>
      <w:r>
        <w:rPr>
          <w:rStyle w:val="37"/>
          <w:rFonts w:asciiTheme="minorEastAsia" w:hAnsiTheme="minorEastAsia" w:eastAsiaTheme="minorEastAsia" w:cstheme="minorEastAsia"/>
          <w:color w:val="auto"/>
          <w:highlight w:val="none"/>
          <w:lang w:val="zh-TW" w:eastAsia="zh-TW"/>
        </w:rPr>
        <w:t>公司</w:t>
      </w:r>
      <w:r>
        <w:rPr>
          <w:rStyle w:val="37"/>
          <w:rFonts w:hint="eastAsia" w:asciiTheme="minorEastAsia" w:hAnsiTheme="minorEastAsia" w:eastAsiaTheme="minorEastAsia" w:cstheme="minorEastAsia"/>
          <w:color w:val="auto"/>
          <w:highlight w:val="none"/>
          <w:lang w:val="zh-TW" w:eastAsia="zh-CN"/>
        </w:rPr>
        <w:t>物流产业园（石家庄）分公司</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eastAsia="zh-TW"/>
        </w:rPr>
        <w:t>供应及运输等工作。</w:t>
      </w:r>
    </w:p>
    <w:p>
      <w:pPr>
        <w:pStyle w:val="36"/>
        <w:spacing w:line="360" w:lineRule="exact"/>
        <w:ind w:right="28" w:firstLine="420"/>
        <w:rPr>
          <w:rStyle w:val="37"/>
          <w:rFonts w:hint="default" w:asciiTheme="minorEastAsia" w:hAnsiTheme="minorEastAsia" w:eastAsiaTheme="minorEastAsia" w:cstheme="minorEastAsia"/>
          <w:color w:val="auto"/>
          <w:highlight w:val="none"/>
          <w:u w:val="single"/>
          <w:lang w:val="zh-TW" w:eastAsia="zh-TW"/>
        </w:rPr>
      </w:pPr>
      <w:r>
        <w:rPr>
          <w:rStyle w:val="37"/>
          <w:rFonts w:asciiTheme="minorEastAsia" w:hAnsiTheme="minorEastAsia" w:eastAsiaTheme="minorEastAsia" w:cstheme="minorEastAsia"/>
          <w:color w:val="auto"/>
          <w:highlight w:val="none"/>
          <w:lang w:val="zh-TW" w:eastAsia="zh-TW"/>
        </w:rPr>
        <w:t>1.2 项目地点：</w:t>
      </w:r>
      <w:r>
        <w:rPr>
          <w:rStyle w:val="37"/>
          <w:rFonts w:asciiTheme="minorEastAsia" w:hAnsiTheme="minorEastAsia" w:eastAsiaTheme="minorEastAsia" w:cstheme="minorEastAsia"/>
          <w:color w:val="auto"/>
          <w:highlight w:val="none"/>
        </w:rPr>
        <w:t>甲方指定地点</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第二条 合同</w:t>
      </w:r>
      <w:r>
        <w:rPr>
          <w:rStyle w:val="37"/>
          <w:rFonts w:asciiTheme="minorEastAsia" w:hAnsiTheme="minorEastAsia" w:eastAsiaTheme="minorEastAsia" w:cstheme="minorEastAsia"/>
          <w:b/>
          <w:bCs/>
          <w:color w:val="auto"/>
          <w:highlight w:val="none"/>
          <w:lang w:val="zh-TW" w:eastAsia="zh-TW"/>
        </w:rPr>
        <w:t>范围</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2.1 负责合同约定物品的供应并运输至甲方项目地</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2.2 负责为甲方提供产品的</w:t>
      </w:r>
      <w:r>
        <w:rPr>
          <w:rStyle w:val="37"/>
          <w:rFonts w:asciiTheme="minorEastAsia" w:hAnsiTheme="minorEastAsia" w:eastAsiaTheme="minorEastAsia" w:cstheme="minorEastAsia"/>
          <w:color w:val="auto"/>
          <w:highlight w:val="none"/>
          <w:lang w:val="zh-TW"/>
        </w:rPr>
        <w:t>售后及三包</w:t>
      </w:r>
      <w:r>
        <w:rPr>
          <w:rStyle w:val="37"/>
          <w:rFonts w:asciiTheme="minorEastAsia" w:hAnsiTheme="minorEastAsia" w:eastAsiaTheme="minorEastAsia" w:cstheme="minorEastAsia"/>
          <w:color w:val="auto"/>
          <w:highlight w:val="none"/>
          <w:lang w:val="zh-TW" w:eastAsia="zh-TW"/>
        </w:rPr>
        <w:t>服务</w:t>
      </w:r>
      <w:r>
        <w:rPr>
          <w:rStyle w:val="37"/>
          <w:rFonts w:asciiTheme="minorEastAsia" w:hAnsiTheme="minorEastAsia" w:eastAsiaTheme="minorEastAsia" w:cstheme="minorEastAsia"/>
          <w:color w:val="auto"/>
          <w:highlight w:val="none"/>
          <w:lang w:val="zh-TW"/>
        </w:rPr>
        <w:t>。</w:t>
      </w:r>
    </w:p>
    <w:p>
      <w:pPr>
        <w:pStyle w:val="36"/>
        <w:spacing w:line="360" w:lineRule="exact"/>
        <w:ind w:left="413" w:right="28" w:hanging="413"/>
        <w:jc w:val="left"/>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b/>
          <w:bCs/>
          <w:color w:val="auto"/>
          <w:highlight w:val="none"/>
          <w:u w:color="050606"/>
          <w:lang w:val="zh-TW" w:eastAsia="zh-TW"/>
        </w:rPr>
        <w:t xml:space="preserve">第三条 </w:t>
      </w:r>
      <w:r>
        <w:rPr>
          <w:rStyle w:val="37"/>
          <w:rFonts w:asciiTheme="minorEastAsia" w:hAnsiTheme="minorEastAsia" w:eastAsiaTheme="minorEastAsia" w:cstheme="minorEastAsia"/>
          <w:b/>
          <w:bCs/>
          <w:color w:val="auto"/>
          <w:highlight w:val="none"/>
          <w:u w:color="050606"/>
          <w:lang w:val="zh-TW"/>
        </w:rPr>
        <w:t>供货日期（</w:t>
      </w:r>
      <w:r>
        <w:rPr>
          <w:rStyle w:val="37"/>
          <w:rFonts w:asciiTheme="minorEastAsia" w:hAnsiTheme="minorEastAsia" w:eastAsiaTheme="minorEastAsia" w:cstheme="minorEastAsia"/>
          <w:color w:val="auto"/>
          <w:highlight w:val="none"/>
          <w:u w:color="050606"/>
          <w:lang w:val="zh-TW"/>
        </w:rPr>
        <w:t>单次供货</w:t>
      </w:r>
      <w:r>
        <w:rPr>
          <w:rStyle w:val="37"/>
          <w:rFonts w:asciiTheme="minorEastAsia" w:hAnsiTheme="minorEastAsia" w:eastAsiaTheme="minorEastAsia" w:cstheme="minorEastAsia"/>
          <w:b/>
          <w:bCs/>
          <w:color w:val="auto"/>
          <w:highlight w:val="none"/>
          <w:u w:color="050606"/>
          <w:lang w:val="zh-TW"/>
        </w:rPr>
        <w:t>）</w:t>
      </w:r>
      <w:r>
        <w:rPr>
          <w:rStyle w:val="37"/>
          <w:rFonts w:asciiTheme="minorEastAsia" w:hAnsiTheme="minorEastAsia" w:eastAsiaTheme="minorEastAsia" w:cstheme="minorEastAsia"/>
          <w:b/>
          <w:bCs/>
          <w:color w:val="auto"/>
          <w:highlight w:val="none"/>
          <w:u w:color="050606"/>
          <w:lang w:val="zh-TW" w:eastAsia="zh-TW"/>
        </w:rPr>
        <w:br w:type="textWrapping"/>
      </w:r>
      <w:r>
        <w:rPr>
          <w:rStyle w:val="37"/>
          <w:rFonts w:asciiTheme="minorEastAsia" w:hAnsiTheme="minorEastAsia" w:eastAsiaTheme="minorEastAsia" w:cstheme="minorEastAsia"/>
          <w:color w:val="auto"/>
          <w:highlight w:val="none"/>
          <w:u w:color="050606"/>
          <w:lang w:val="zh-TW"/>
        </w:rPr>
        <w:t>3.1（单次供货）供货日</w:t>
      </w:r>
      <w:r>
        <w:rPr>
          <w:rStyle w:val="37"/>
          <w:rFonts w:asciiTheme="minorEastAsia" w:hAnsiTheme="minorEastAsia" w:eastAsiaTheme="minorEastAsia" w:cstheme="minorEastAsia"/>
          <w:color w:val="auto"/>
          <w:highlight w:val="none"/>
          <w:u w:color="050606"/>
          <w:lang w:val="zh-TW" w:eastAsia="zh-TW"/>
        </w:rPr>
        <w:t>期：</w:t>
      </w:r>
      <w:r>
        <w:rPr>
          <w:rStyle w:val="37"/>
          <w:rFonts w:asciiTheme="minorEastAsia" w:hAnsiTheme="minorEastAsia" w:eastAsiaTheme="minorEastAsia" w:cstheme="minorEastAsia"/>
          <w:color w:val="auto"/>
          <w:highlight w:val="none"/>
          <w:u w:val="single"/>
          <w:lang w:val="zh-TW"/>
        </w:rPr>
        <w:t xml:space="preserve">    年   月    日</w:t>
      </w:r>
      <w:r>
        <w:rPr>
          <w:rStyle w:val="37"/>
          <w:rFonts w:asciiTheme="minorEastAsia" w:hAnsiTheme="minorEastAsia" w:eastAsiaTheme="minorEastAsia" w:cstheme="minorEastAsia"/>
          <w:color w:val="auto"/>
          <w:highlight w:val="none"/>
          <w:lang w:val="zh-TW"/>
        </w:rPr>
        <w:t>之前到货。</w:t>
      </w:r>
    </w:p>
    <w:p>
      <w:pPr>
        <w:pStyle w:val="36"/>
        <w:spacing w:line="360" w:lineRule="exact"/>
        <w:ind w:left="361" w:leftChars="172" w:right="28"/>
        <w:jc w:val="left"/>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bCs/>
          <w:color w:val="auto"/>
          <w:highlight w:val="none"/>
          <w:u w:color="050606"/>
          <w:lang w:val="zh-TW"/>
        </w:rPr>
        <w:t>3.2（多次供货）</w:t>
      </w:r>
      <w:r>
        <w:rPr>
          <w:rStyle w:val="37"/>
          <w:rFonts w:asciiTheme="minorEastAsia" w:hAnsiTheme="minorEastAsia" w:eastAsiaTheme="minorEastAsia" w:cstheme="minorEastAsia"/>
          <w:color w:val="auto"/>
          <w:highlight w:val="none"/>
          <w:lang w:val="zh-TW" w:eastAsia="zh-TW"/>
        </w:rPr>
        <w:t>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w:t>
      </w:r>
      <w:r>
        <w:rPr>
          <w:rStyle w:val="37"/>
          <w:rFonts w:asciiTheme="minorEastAsia" w:hAnsiTheme="minorEastAsia" w:eastAsiaTheme="minorEastAsia" w:cstheme="minorEastAsia"/>
          <w:color w:val="auto"/>
          <w:highlight w:val="none"/>
          <w:lang w:val="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第四条 合同价款</w:t>
      </w:r>
    </w:p>
    <w:p>
      <w:pPr>
        <w:pStyle w:val="36"/>
        <w:spacing w:line="360" w:lineRule="exact"/>
        <w:ind w:right="29"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4.1合同总价款包含</w:t>
      </w:r>
      <w:r>
        <w:rPr>
          <w:rStyle w:val="37"/>
          <w:rFonts w:asciiTheme="minorEastAsia" w:hAnsiTheme="minorEastAsia" w:eastAsiaTheme="minorEastAsia" w:cstheme="minorEastAsia"/>
          <w:color w:val="auto"/>
          <w:highlight w:val="none"/>
          <w:u w:color="050606"/>
          <w:lang w:val="zh-TW" w:eastAsia="zh-TW"/>
        </w:rPr>
        <w:t>维修</w:t>
      </w:r>
      <w:r>
        <w:rPr>
          <w:rStyle w:val="37"/>
          <w:rFonts w:asciiTheme="minorEastAsia" w:hAnsiTheme="minorEastAsia" w:eastAsiaTheme="minorEastAsia" w:cstheme="minorEastAsia"/>
          <w:color w:val="auto"/>
          <w:highlight w:val="none"/>
          <w:u w:color="050606"/>
          <w:lang w:val="zh-TW"/>
        </w:rPr>
        <w:t>工具、</w:t>
      </w:r>
      <w:r>
        <w:rPr>
          <w:rStyle w:val="37"/>
          <w:rFonts w:asciiTheme="minorEastAsia" w:hAnsiTheme="minorEastAsia" w:eastAsiaTheme="minorEastAsia" w:cstheme="minorEastAsia"/>
          <w:color w:val="auto"/>
          <w:highlight w:val="none"/>
          <w:u w:color="050606"/>
          <w:lang w:val="zh-TW" w:eastAsia="zh-TW"/>
        </w:rPr>
        <w:t>耗材</w:t>
      </w:r>
      <w:r>
        <w:rPr>
          <w:rStyle w:val="37"/>
          <w:rFonts w:asciiTheme="minorEastAsia" w:hAnsiTheme="minorEastAsia" w:eastAsiaTheme="minorEastAsia" w:cstheme="minorEastAsia"/>
          <w:color w:val="auto"/>
          <w:highlight w:val="none"/>
          <w:lang w:val="zh-TW" w:eastAsia="zh-TW"/>
        </w:rPr>
        <w:t>从设计、供货、调试至交付使用及质保期内维保等一切费用，包括但不限于</w:t>
      </w:r>
      <w:r>
        <w:rPr>
          <w:rStyle w:val="37"/>
          <w:rFonts w:asciiTheme="minorEastAsia" w:hAnsiTheme="minorEastAsia" w:eastAsiaTheme="minorEastAsia" w:cstheme="minorEastAsia"/>
          <w:color w:val="auto"/>
          <w:highlight w:val="none"/>
        </w:rPr>
        <w:t>产品本身报价，</w:t>
      </w:r>
      <w:r>
        <w:rPr>
          <w:rStyle w:val="37"/>
          <w:rFonts w:asciiTheme="minorEastAsia" w:hAnsiTheme="minorEastAsia" w:eastAsiaTheme="minorEastAsia" w:cstheme="minorEastAsia"/>
          <w:color w:val="auto"/>
          <w:highlight w:val="none"/>
          <w:lang w:val="zh-TW"/>
        </w:rPr>
        <w:t>产品</w:t>
      </w:r>
      <w:r>
        <w:rPr>
          <w:rStyle w:val="37"/>
          <w:rFonts w:asciiTheme="minorEastAsia" w:hAnsiTheme="minorEastAsia" w:eastAsiaTheme="minorEastAsia" w:cstheme="minorEastAsia"/>
          <w:color w:val="auto"/>
          <w:highlight w:val="none"/>
          <w:lang w:val="zh-TW" w:eastAsia="zh-TW"/>
        </w:rPr>
        <w:t>的运输</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保险、装卸</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产品安装、调试、培训，</w:t>
      </w:r>
      <w:r>
        <w:rPr>
          <w:rStyle w:val="37"/>
          <w:rFonts w:asciiTheme="minorEastAsia" w:hAnsiTheme="minorEastAsia" w:eastAsiaTheme="minorEastAsia" w:cstheme="minorEastAsia"/>
          <w:color w:val="auto"/>
          <w:highlight w:val="none"/>
          <w:lang w:val="zh-TW" w:eastAsia="zh-TW"/>
        </w:rPr>
        <w:t>因质量问题引起的维修和更换</w:t>
      </w:r>
      <w:r>
        <w:rPr>
          <w:rStyle w:val="37"/>
          <w:rFonts w:asciiTheme="minorEastAsia" w:hAnsiTheme="minorEastAsia" w:eastAsiaTheme="minorEastAsia" w:cstheme="minorEastAsia"/>
          <w:color w:val="auto"/>
          <w:highlight w:val="none"/>
          <w:lang w:val="zh-TW"/>
        </w:rPr>
        <w:t>，</w:t>
      </w:r>
      <w:r>
        <w:rPr>
          <w:rStyle w:val="37"/>
          <w:rFonts w:hint="default"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eastAsia="zh-TW"/>
        </w:rPr>
        <w:t>的利润、税金、政策性文件的规定以及原材料涨价等一切风险和费用。除本合同另有约定外，合同中的固定单价不予调整。</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4.2本合同价款</w:t>
      </w:r>
      <w:r>
        <w:rPr>
          <w:rStyle w:val="37"/>
          <w:rFonts w:asciiTheme="minorEastAsia" w:hAnsiTheme="minorEastAsia" w:eastAsiaTheme="minorEastAsia" w:cstheme="minorEastAsia"/>
          <w:color w:val="auto"/>
          <w:highlight w:val="none"/>
          <w:u w:color="050606"/>
          <w:lang w:val="zh-TW"/>
        </w:rPr>
        <w:t>为含税价格</w:t>
      </w:r>
      <w:r>
        <w:rPr>
          <w:rStyle w:val="37"/>
          <w:rFonts w:asciiTheme="minorEastAsia" w:hAnsiTheme="minorEastAsia" w:eastAsiaTheme="minorEastAsia" w:cstheme="minorEastAsia"/>
          <w:color w:val="auto"/>
          <w:highlight w:val="none"/>
          <w:u w:color="050606"/>
          <w:lang w:val="zh-TW" w:eastAsia="zh-TW"/>
        </w:rPr>
        <w:t>。</w:t>
      </w:r>
    </w:p>
    <w:p>
      <w:pPr>
        <w:pStyle w:val="36"/>
        <w:spacing w:line="360" w:lineRule="exact"/>
        <w:ind w:firstLine="420"/>
        <w:rPr>
          <w:rStyle w:val="37"/>
          <w:rFonts w:hint="default" w:asciiTheme="minorEastAsia" w:hAnsiTheme="minorEastAsia" w:eastAsiaTheme="minorEastAsia" w:cstheme="minorEastAsia"/>
          <w:color w:val="auto"/>
          <w:highlight w:val="none"/>
          <w:u w:color="050606"/>
        </w:rPr>
      </w:pPr>
      <w:r>
        <w:rPr>
          <w:rStyle w:val="37"/>
          <w:rFonts w:asciiTheme="minorEastAsia" w:hAnsiTheme="minorEastAsia" w:eastAsiaTheme="minorEastAsia" w:cstheme="minorEastAsia"/>
          <w:color w:val="auto"/>
          <w:highlight w:val="none"/>
          <w:u w:color="050606"/>
        </w:rPr>
        <w:t>4.3本合同为多次供货合同的情况下</w:t>
      </w:r>
      <w:r>
        <w:rPr>
          <w:rStyle w:val="37"/>
          <w:rFonts w:asciiTheme="minorEastAsia" w:hAnsiTheme="minorEastAsia" w:eastAsiaTheme="minorEastAsia" w:cstheme="minorEastAsia"/>
          <w:bCs/>
          <w:color w:val="auto"/>
          <w:highlight w:val="none"/>
          <w:u w:color="050606"/>
        </w:rPr>
        <w:t>价款依据采购清单中的货品单价，合同期内遵循多次采购据实结算为原则，单批采购单批结算</w:t>
      </w:r>
      <w:r>
        <w:rPr>
          <w:rStyle w:val="37"/>
          <w:rFonts w:asciiTheme="minorEastAsia" w:hAnsiTheme="minorEastAsia" w:eastAsiaTheme="minorEastAsia" w:cstheme="minorEastAsia"/>
          <w:color w:val="auto"/>
          <w:highlight w:val="none"/>
          <w:u w:color="050606"/>
        </w:rPr>
        <w:t>。</w:t>
      </w:r>
    </w:p>
    <w:p>
      <w:pPr>
        <w:pStyle w:val="36"/>
        <w:outlineLvl w:val="0"/>
        <w:rPr>
          <w:rStyle w:val="37"/>
          <w:rFonts w:hint="default" w:asciiTheme="minorEastAsia" w:hAnsiTheme="minorEastAsia" w:eastAsiaTheme="minorEastAsia" w:cstheme="minorEastAsia"/>
          <w:b/>
          <w:bCs/>
          <w:color w:val="auto"/>
          <w:highlight w:val="none"/>
          <w:u w:color="050606"/>
          <w:lang w:val="zh-TW" w:eastAsia="zh-TW"/>
        </w:rPr>
      </w:pPr>
      <w:bookmarkStart w:id="145" w:name="_Toc23019"/>
      <w:bookmarkStart w:id="146" w:name="_Toc2889"/>
      <w:r>
        <w:rPr>
          <w:rStyle w:val="37"/>
          <w:rFonts w:asciiTheme="minorEastAsia" w:hAnsiTheme="minorEastAsia" w:eastAsiaTheme="minorEastAsia" w:cstheme="minorEastAsia"/>
          <w:b/>
          <w:bCs/>
          <w:color w:val="auto"/>
          <w:highlight w:val="none"/>
          <w:u w:color="050606"/>
          <w:lang w:val="zh-TW" w:eastAsia="zh-TW"/>
        </w:rPr>
        <w:t>第五条 付款方式</w:t>
      </w:r>
      <w:bookmarkEnd w:id="145"/>
      <w:bookmarkEnd w:id="146"/>
    </w:p>
    <w:p>
      <w:pPr>
        <w:pStyle w:val="8"/>
        <w:spacing w:line="240" w:lineRule="auto"/>
        <w:ind w:right="29"/>
        <w:rPr>
          <w:rStyle w:val="37"/>
          <w:rFonts w:asciiTheme="minorEastAsia" w:hAnsiTheme="minorEastAsia" w:eastAsiaTheme="minorEastAsia" w:cstheme="minorEastAsia"/>
          <w:color w:val="auto"/>
          <w:sz w:val="21"/>
          <w:szCs w:val="21"/>
          <w:highlight w:val="none"/>
          <w:lang w:val="zh-TW" w:eastAsia="zh-TW"/>
        </w:rPr>
      </w:pPr>
      <w:r>
        <w:rPr>
          <w:rStyle w:val="37"/>
          <w:rFonts w:hint="eastAsia" w:asciiTheme="minorEastAsia" w:hAnsiTheme="minorEastAsia" w:eastAsiaTheme="minorEastAsia" w:cstheme="minorEastAsia"/>
          <w:color w:val="auto"/>
          <w:sz w:val="21"/>
          <w:szCs w:val="21"/>
          <w:highlight w:val="none"/>
          <w:u w:color="050606"/>
          <w:lang w:val="zh-TW" w:eastAsia="zh-TW"/>
        </w:rPr>
        <w:t>5.1付款方式采取以下</w:t>
      </w:r>
      <w:r>
        <w:rPr>
          <w:rStyle w:val="37"/>
          <w:rFonts w:hint="eastAsia" w:asciiTheme="minorEastAsia" w:hAnsiTheme="minorEastAsia" w:eastAsiaTheme="minorEastAsia" w:cstheme="minorEastAsia"/>
          <w:color w:val="auto"/>
          <w:sz w:val="21"/>
          <w:szCs w:val="21"/>
          <w:highlight w:val="none"/>
          <w:u w:color="050606"/>
          <w:lang w:val="en-US" w:eastAsia="zh-CN"/>
        </w:rPr>
        <w:t>C</w:t>
      </w:r>
      <w:r>
        <w:rPr>
          <w:rStyle w:val="37"/>
          <w:rFonts w:hint="eastAsia" w:asciiTheme="minorEastAsia" w:hAnsiTheme="minorEastAsia" w:eastAsiaTheme="minorEastAsia" w:cstheme="minorEastAsia"/>
          <w:color w:val="auto"/>
          <w:sz w:val="21"/>
          <w:szCs w:val="21"/>
          <w:highlight w:val="none"/>
          <w:lang w:val="zh-TW" w:eastAsia="zh-TW"/>
        </w:rPr>
        <w:t>种付款方式：</w:t>
      </w:r>
    </w:p>
    <w:p>
      <w:pPr>
        <w:pStyle w:val="8"/>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A. 所有货物到场，甲方验收合格后，一次付清合同全款。</w:t>
      </w:r>
    </w:p>
    <w:p>
      <w:pPr>
        <w:pStyle w:val="8"/>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B．</w:t>
      </w:r>
      <w:r>
        <w:rPr>
          <w:rStyle w:val="37"/>
          <w:rFonts w:hint="eastAsia" w:asciiTheme="minorEastAsia" w:hAnsiTheme="minorEastAsia" w:eastAsiaTheme="minorEastAsia" w:cstheme="minorEastAsia"/>
          <w:color w:val="auto"/>
          <w:sz w:val="21"/>
          <w:szCs w:val="21"/>
          <w:highlight w:val="none"/>
          <w:lang w:val="zh-TW" w:eastAsia="zh-TW"/>
        </w:rPr>
        <w:t>所有货物到场，甲方验收合格后，</w:t>
      </w:r>
      <w:r>
        <w:rPr>
          <w:rStyle w:val="37"/>
          <w:rFonts w:hint="eastAsia" w:asciiTheme="minorEastAsia" w:hAnsiTheme="minorEastAsia" w:eastAsiaTheme="minorEastAsia" w:cstheme="minorEastAsia"/>
          <w:color w:val="auto"/>
          <w:sz w:val="21"/>
          <w:szCs w:val="21"/>
          <w:highlight w:val="none"/>
          <w:u w:color="050606"/>
          <w:lang w:val="zh-TW" w:eastAsia="zh-TW"/>
        </w:rPr>
        <w:t>甲方银行转账汇至乙方指定账户</w:t>
      </w:r>
      <w:r>
        <w:rPr>
          <w:rStyle w:val="37"/>
          <w:rFonts w:hint="eastAsia" w:asciiTheme="minorEastAsia" w:hAnsiTheme="minorEastAsia" w:eastAsiaTheme="minorEastAsia" w:cstheme="minorEastAsia"/>
          <w:color w:val="auto"/>
          <w:sz w:val="21"/>
          <w:szCs w:val="21"/>
          <w:highlight w:val="none"/>
          <w:u w:color="050606"/>
          <w:lang w:val="zh-TW"/>
        </w:rPr>
        <w:t>合同价款的95%，</w:t>
      </w:r>
      <w:r>
        <w:rPr>
          <w:rStyle w:val="37"/>
          <w:rFonts w:hint="eastAsia" w:asciiTheme="minorEastAsia" w:hAnsiTheme="minorEastAsia" w:eastAsiaTheme="minorEastAsia" w:cstheme="minorEastAsia"/>
          <w:color w:val="auto"/>
          <w:sz w:val="21"/>
          <w:szCs w:val="21"/>
          <w:highlight w:val="none"/>
          <w:lang w:val="zh-TW"/>
        </w:rPr>
        <w:t>剩余5%为质保金，自验收合格之日起</w:t>
      </w:r>
      <w:r>
        <w:rPr>
          <w:rStyle w:val="37"/>
          <w:rFonts w:hint="eastAsia" w:asciiTheme="minorEastAsia" w:hAnsiTheme="minorEastAsia" w:eastAsiaTheme="minorEastAsia" w:cstheme="minorEastAsia"/>
          <w:color w:val="auto"/>
          <w:sz w:val="21"/>
          <w:szCs w:val="21"/>
          <w:highlight w:val="none"/>
          <w:u w:val="single"/>
          <w:lang w:val="zh-TW"/>
        </w:rPr>
        <w:t xml:space="preserve">   </w:t>
      </w:r>
      <w:r>
        <w:rPr>
          <w:rStyle w:val="37"/>
          <w:rFonts w:hint="eastAsia" w:asciiTheme="minorEastAsia" w:hAnsiTheme="minorEastAsia" w:eastAsiaTheme="minorEastAsia" w:cstheme="minorEastAsia"/>
          <w:color w:val="auto"/>
          <w:sz w:val="21"/>
          <w:szCs w:val="21"/>
          <w:highlight w:val="none"/>
          <w:lang w:val="zh-TW"/>
        </w:rPr>
        <w:t>年</w:t>
      </w:r>
      <w:r>
        <w:rPr>
          <w:rStyle w:val="37"/>
          <w:rFonts w:hint="eastAsia" w:asciiTheme="minorEastAsia" w:hAnsiTheme="minorEastAsia" w:eastAsiaTheme="minorEastAsia" w:cstheme="minorEastAsia"/>
          <w:color w:val="auto"/>
          <w:sz w:val="21"/>
          <w:szCs w:val="21"/>
          <w:highlight w:val="none"/>
          <w:u w:color="050606"/>
          <w:lang w:val="zh-TW" w:eastAsia="zh-TW"/>
        </w:rPr>
        <w:t>后由甲方视乙方维保与质保情况据实无息支付。</w:t>
      </w:r>
    </w:p>
    <w:p>
      <w:pPr>
        <w:widowControl/>
        <w:spacing w:line="360" w:lineRule="auto"/>
        <w:ind w:firstLine="420"/>
        <w:rPr>
          <w:rFonts w:hint="eastAsia" w:ascii="宋体" w:hAnsi="宋体" w:eastAsia="宋体" w:cs="宋体"/>
          <w:color w:val="auto"/>
          <w:sz w:val="22"/>
          <w:szCs w:val="22"/>
          <w:highlight w:val="none"/>
          <w:u w:val="single"/>
          <w:shd w:val="clear" w:color="auto" w:fill="FFFFFF" w:themeFill="background1"/>
          <w:lang w:val="en-US" w:eastAsia="zh-CN"/>
        </w:rPr>
      </w:pPr>
      <w:r>
        <w:rPr>
          <w:rStyle w:val="37"/>
          <w:rFonts w:hint="eastAsia" w:asciiTheme="minorEastAsia" w:hAnsiTheme="minorEastAsia" w:eastAsiaTheme="minorEastAsia" w:cstheme="minorEastAsia"/>
          <w:color w:val="auto"/>
          <w:sz w:val="21"/>
          <w:szCs w:val="21"/>
          <w:highlight w:val="none"/>
          <w:lang w:val="zh-TW"/>
        </w:rPr>
        <w:t>C.</w:t>
      </w:r>
      <w:r>
        <w:rPr>
          <w:rStyle w:val="37"/>
          <w:rFonts w:hint="eastAsia" w:asciiTheme="minorEastAsia" w:hAnsiTheme="minorEastAsia" w:eastAsiaTheme="minorEastAsia" w:cstheme="minorEastAsia"/>
          <w:color w:val="auto"/>
          <w:sz w:val="21"/>
          <w:szCs w:val="21"/>
          <w:highlight w:val="none"/>
          <w:u w:val="single"/>
          <w:lang w:val="zh-TW"/>
        </w:rPr>
        <w:t>其他</w:t>
      </w:r>
      <w:r>
        <w:rPr>
          <w:rFonts w:hint="eastAsia" w:ascii="宋体" w:hAnsi="宋体" w:eastAsia="宋体" w:cs="宋体"/>
          <w:color w:val="auto"/>
          <w:sz w:val="22"/>
          <w:szCs w:val="22"/>
          <w:highlight w:val="none"/>
          <w:u w:val="single"/>
          <w:shd w:val="clear" w:color="auto" w:fill="FFFFFF" w:themeFill="background1"/>
          <w:lang w:val="en-US" w:eastAsia="zh-CN"/>
        </w:rPr>
        <w:t>签订合同后预付总合同金额的40%，项目</w:t>
      </w:r>
      <w:r>
        <w:rPr>
          <w:rFonts w:hint="eastAsia" w:ascii="宋体" w:hAnsi="宋体" w:cs="宋体"/>
          <w:color w:val="auto"/>
          <w:sz w:val="22"/>
          <w:szCs w:val="22"/>
          <w:highlight w:val="none"/>
          <w:u w:val="single"/>
          <w:shd w:val="clear" w:color="auto" w:fill="FFFFFF" w:themeFill="background1"/>
          <w:lang w:val="en-US" w:eastAsia="zh-CN"/>
        </w:rPr>
        <w:t>到场</w:t>
      </w:r>
      <w:r>
        <w:rPr>
          <w:rFonts w:hint="eastAsia" w:ascii="宋体" w:hAnsi="宋体" w:eastAsia="宋体" w:cs="宋体"/>
          <w:color w:val="auto"/>
          <w:sz w:val="22"/>
          <w:szCs w:val="22"/>
          <w:highlight w:val="none"/>
          <w:u w:val="single"/>
          <w:shd w:val="clear" w:color="auto" w:fill="FFFFFF" w:themeFill="background1"/>
          <w:lang w:val="en-US" w:eastAsia="zh-CN"/>
        </w:rPr>
        <w:t>安装验收完毕15日内支付至合同金额的9</w:t>
      </w:r>
      <w:r>
        <w:rPr>
          <w:rFonts w:hint="eastAsia" w:ascii="宋体" w:hAnsi="宋体" w:cs="宋体"/>
          <w:color w:val="auto"/>
          <w:sz w:val="22"/>
          <w:szCs w:val="22"/>
          <w:highlight w:val="none"/>
          <w:u w:val="single"/>
          <w:shd w:val="clear" w:color="auto" w:fill="FFFFFF" w:themeFill="background1"/>
          <w:lang w:val="en-US" w:eastAsia="zh-CN"/>
        </w:rPr>
        <w:t>5</w:t>
      </w:r>
      <w:r>
        <w:rPr>
          <w:rFonts w:hint="eastAsia" w:ascii="宋体" w:hAnsi="宋体" w:eastAsia="宋体" w:cs="宋体"/>
          <w:color w:val="auto"/>
          <w:sz w:val="22"/>
          <w:szCs w:val="22"/>
          <w:highlight w:val="none"/>
          <w:u w:val="single"/>
          <w:shd w:val="clear" w:color="auto" w:fill="FFFFFF" w:themeFill="background1"/>
          <w:lang w:val="en-US" w:eastAsia="zh-CN"/>
        </w:rPr>
        <w:t>%。剩余</w:t>
      </w:r>
      <w:r>
        <w:rPr>
          <w:rFonts w:hint="eastAsia" w:ascii="宋体" w:hAnsi="宋体" w:cs="宋体"/>
          <w:color w:val="auto"/>
          <w:sz w:val="22"/>
          <w:szCs w:val="22"/>
          <w:highlight w:val="none"/>
          <w:u w:val="single"/>
          <w:shd w:val="clear" w:color="auto" w:fill="FFFFFF" w:themeFill="background1"/>
          <w:lang w:val="en-US" w:eastAsia="zh-CN"/>
        </w:rPr>
        <w:t>5</w:t>
      </w:r>
      <w:r>
        <w:rPr>
          <w:rFonts w:hint="eastAsia" w:ascii="宋体" w:hAnsi="宋体" w:eastAsia="宋体" w:cs="宋体"/>
          <w:color w:val="auto"/>
          <w:sz w:val="22"/>
          <w:szCs w:val="22"/>
          <w:highlight w:val="none"/>
          <w:u w:val="single"/>
          <w:shd w:val="clear" w:color="auto" w:fill="FFFFFF" w:themeFill="background1"/>
          <w:lang w:val="en-US" w:eastAsia="zh-CN"/>
        </w:rPr>
        <w:t>%作为质保金，待质保期满</w:t>
      </w:r>
      <w:r>
        <w:rPr>
          <w:rFonts w:hint="eastAsia" w:ascii="宋体" w:hAnsi="宋体" w:cs="宋体"/>
          <w:color w:val="auto"/>
          <w:sz w:val="22"/>
          <w:szCs w:val="22"/>
          <w:highlight w:val="none"/>
          <w:u w:val="single"/>
          <w:shd w:val="clear" w:color="auto" w:fill="FFFFFF" w:themeFill="background1"/>
          <w:lang w:val="en-US" w:eastAsia="zh-CN"/>
        </w:rPr>
        <w:t>两</w:t>
      </w:r>
      <w:r>
        <w:rPr>
          <w:rFonts w:hint="eastAsia" w:ascii="宋体" w:hAnsi="宋体" w:eastAsia="宋体" w:cs="宋体"/>
          <w:color w:val="auto"/>
          <w:sz w:val="22"/>
          <w:szCs w:val="22"/>
          <w:highlight w:val="none"/>
          <w:u w:val="single"/>
          <w:shd w:val="clear" w:color="auto" w:fill="FFFFFF" w:themeFill="background1"/>
          <w:lang w:val="en-US" w:eastAsia="zh-CN"/>
        </w:rPr>
        <w:t>年后支付（具体以合同约定为准）。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5.2</w:t>
      </w:r>
      <w:r>
        <w:rPr>
          <w:rStyle w:val="37"/>
          <w:rFonts w:asciiTheme="minorEastAsia" w:hAnsiTheme="minorEastAsia" w:eastAsiaTheme="minorEastAsia" w:cstheme="minorEastAsia"/>
          <w:color w:val="auto"/>
          <w:highlight w:val="none"/>
          <w:lang w:val="zh-TW"/>
        </w:rPr>
        <w:t>无论采取以上何种支付方式，</w:t>
      </w:r>
      <w:r>
        <w:rPr>
          <w:rStyle w:val="37"/>
          <w:rFonts w:asciiTheme="minorEastAsia" w:hAnsiTheme="minorEastAsia" w:eastAsiaTheme="minorEastAsia" w:cstheme="minorEastAsia"/>
          <w:color w:val="auto"/>
          <w:highlight w:val="none"/>
        </w:rPr>
        <w:t>甲方支付合同价款前，</w:t>
      </w:r>
      <w:r>
        <w:rPr>
          <w:rStyle w:val="37"/>
          <w:rFonts w:asciiTheme="minorEastAsia" w:hAnsiTheme="minorEastAsia" w:eastAsiaTheme="minorEastAsia" w:cstheme="minorEastAsia"/>
          <w:color w:val="auto"/>
          <w:highlight w:val="none"/>
          <w:lang w:val="zh-TW"/>
        </w:rPr>
        <w:t>乙方应先按甲方要求开具</w:t>
      </w:r>
      <w:r>
        <w:rPr>
          <w:rStyle w:val="37"/>
          <w:rFonts w:asciiTheme="minorEastAsia" w:hAnsiTheme="minorEastAsia" w:eastAsiaTheme="minorEastAsia" w:cstheme="minorEastAsia"/>
          <w:color w:val="auto"/>
          <w:highlight w:val="none"/>
        </w:rPr>
        <w:t>并提供</w:t>
      </w:r>
      <w:r>
        <w:rPr>
          <w:rStyle w:val="37"/>
          <w:rFonts w:asciiTheme="minorEastAsia" w:hAnsiTheme="minorEastAsia" w:eastAsiaTheme="minorEastAsia" w:cstheme="minorEastAsia"/>
          <w:color w:val="auto"/>
          <w:highlight w:val="none"/>
          <w:lang w:val="zh-TW"/>
        </w:rPr>
        <w:t>合法、有效、全额的正规增值税专用发票</w:t>
      </w:r>
      <w:r>
        <w:rPr>
          <w:rStyle w:val="37"/>
          <w:rFonts w:asciiTheme="minorEastAsia" w:hAnsiTheme="minorEastAsia" w:eastAsiaTheme="minorEastAsia" w:cstheme="minorEastAsia"/>
          <w:color w:val="auto"/>
          <w:highlight w:val="none"/>
          <w:u w:color="050606"/>
          <w:lang w:val="zh-TW"/>
        </w:rPr>
        <w:t>(税率</w:t>
      </w:r>
      <w:r>
        <w:rPr>
          <w:rStyle w:val="37"/>
          <w:rFonts w:hint="eastAsia" w:asciiTheme="minorEastAsia" w:hAnsiTheme="minorEastAsia" w:eastAsiaTheme="minorEastAsia" w:cstheme="minorEastAsia"/>
          <w:color w:val="auto"/>
          <w:highlight w:val="none"/>
          <w:u w:color="050606"/>
          <w:lang w:val="en-US" w:eastAsia="zh-CN"/>
        </w:rPr>
        <w:t>13%</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lang w:val="zh-TW"/>
        </w:rPr>
        <w:t>)，否则，甲方有权顺延付款时间且无需承担任何违约责任。</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47" w:name="_Toc4762"/>
      <w:bookmarkStart w:id="148" w:name="_Toc23704"/>
      <w:r>
        <w:rPr>
          <w:rStyle w:val="37"/>
          <w:rFonts w:asciiTheme="minorEastAsia" w:hAnsiTheme="minorEastAsia" w:eastAsiaTheme="minorEastAsia" w:cstheme="minorEastAsia"/>
          <w:b/>
          <w:bCs/>
          <w:color w:val="auto"/>
          <w:highlight w:val="none"/>
          <w:u w:color="050606"/>
          <w:lang w:val="zh-TW" w:eastAsia="zh-TW"/>
        </w:rPr>
        <w:t>第六条 甲方权利和义务</w:t>
      </w:r>
      <w:bookmarkEnd w:id="147"/>
      <w:bookmarkEnd w:id="148"/>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lang w:val="zh-TW" w:eastAsia="zh-TW"/>
        </w:rPr>
        <w:t>6.1甲方有权及时掌握乙方供货质量与供货进度情况。</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6.2甲方负责协调</w:t>
      </w:r>
      <w:r>
        <w:rPr>
          <w:rStyle w:val="37"/>
          <w:rFonts w:asciiTheme="minorEastAsia" w:hAnsiTheme="minorEastAsia" w:eastAsiaTheme="minorEastAsia" w:cstheme="minorEastAsia"/>
          <w:color w:val="auto"/>
          <w:highlight w:val="none"/>
          <w:u w:color="050606"/>
          <w:lang w:val="zh-TW"/>
        </w:rPr>
        <w:t>收货</w:t>
      </w:r>
      <w:r>
        <w:rPr>
          <w:rStyle w:val="37"/>
          <w:rFonts w:asciiTheme="minorEastAsia" w:hAnsiTheme="minorEastAsia" w:eastAsiaTheme="minorEastAsia" w:cstheme="minorEastAsia"/>
          <w:color w:val="auto"/>
          <w:highlight w:val="none"/>
          <w:u w:color="050606"/>
          <w:lang w:val="zh-TW" w:eastAsia="zh-TW"/>
        </w:rPr>
        <w:t>现场满足物品运输要求的通道和空间。</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rPr>
        <w:t>6.3甲方应当按合同约定付款。</w:t>
      </w:r>
    </w:p>
    <w:p>
      <w:pPr>
        <w:pStyle w:val="36"/>
        <w:spacing w:line="360" w:lineRule="exact"/>
        <w:outlineLvl w:val="0"/>
        <w:rPr>
          <w:rStyle w:val="37"/>
          <w:rFonts w:hint="default" w:asciiTheme="minorEastAsia" w:hAnsiTheme="minorEastAsia" w:eastAsiaTheme="minorEastAsia" w:cstheme="minorEastAsia"/>
          <w:color w:val="auto"/>
          <w:highlight w:val="none"/>
          <w:u w:color="050606"/>
          <w:lang w:val="zh-TW" w:eastAsia="zh-TW"/>
        </w:rPr>
      </w:pPr>
      <w:bookmarkStart w:id="149" w:name="_Toc2538"/>
      <w:bookmarkStart w:id="150" w:name="_Toc24128"/>
      <w:r>
        <w:rPr>
          <w:rStyle w:val="37"/>
          <w:rFonts w:asciiTheme="minorEastAsia" w:hAnsiTheme="minorEastAsia" w:eastAsiaTheme="minorEastAsia" w:cstheme="minorEastAsia"/>
          <w:b/>
          <w:bCs/>
          <w:color w:val="auto"/>
          <w:highlight w:val="none"/>
          <w:u w:color="050606"/>
          <w:lang w:val="zh-TW" w:eastAsia="zh-TW"/>
        </w:rPr>
        <w:t>第七条 乙方权利和义务</w:t>
      </w:r>
      <w:bookmarkEnd w:id="149"/>
      <w:bookmarkEnd w:id="150"/>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7.1乙方必须保证所提供的产品</w:t>
      </w:r>
      <w:r>
        <w:rPr>
          <w:rStyle w:val="37"/>
          <w:rFonts w:asciiTheme="minorEastAsia" w:hAnsiTheme="minorEastAsia" w:eastAsiaTheme="minorEastAsia" w:cstheme="minorEastAsia"/>
          <w:color w:val="auto"/>
          <w:highlight w:val="none"/>
          <w:lang w:val="zh-TW"/>
        </w:rPr>
        <w:t>的型号、数量、质量等符合本合同</w:t>
      </w:r>
      <w:r>
        <w:rPr>
          <w:rStyle w:val="37"/>
          <w:rFonts w:asciiTheme="minorEastAsia" w:hAnsiTheme="minorEastAsia" w:eastAsiaTheme="minorEastAsia" w:cstheme="minorEastAsia"/>
          <w:color w:val="auto"/>
          <w:highlight w:val="none"/>
        </w:rPr>
        <w:t>约定</w:t>
      </w:r>
      <w:r>
        <w:rPr>
          <w:rStyle w:val="37"/>
          <w:rFonts w:asciiTheme="minorEastAsia" w:hAnsiTheme="minorEastAsia" w:eastAsiaTheme="minorEastAsia" w:cstheme="minorEastAsia"/>
          <w:color w:val="auto"/>
          <w:highlight w:val="none"/>
          <w:lang w:val="zh-TW"/>
        </w:rPr>
        <w:t>和/或招投标文件的</w:t>
      </w:r>
      <w:r>
        <w:rPr>
          <w:rStyle w:val="37"/>
          <w:rFonts w:asciiTheme="minorEastAsia" w:hAnsiTheme="minorEastAsia" w:eastAsiaTheme="minorEastAsia" w:cstheme="minorEastAsia"/>
          <w:color w:val="auto"/>
          <w:highlight w:val="none"/>
        </w:rPr>
        <w:t>要求及承诺</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7.2乙方必须服从甲方管理，</w:t>
      </w:r>
      <w:r>
        <w:rPr>
          <w:rStyle w:val="37"/>
          <w:rFonts w:asciiTheme="minorEastAsia" w:hAnsiTheme="minorEastAsia" w:eastAsiaTheme="minorEastAsia" w:cstheme="minorEastAsia"/>
          <w:color w:val="auto"/>
          <w:highlight w:val="none"/>
          <w:lang w:val="zh-TW"/>
        </w:rPr>
        <w:t>按甲方要求</w:t>
      </w:r>
      <w:r>
        <w:rPr>
          <w:rStyle w:val="37"/>
          <w:rFonts w:asciiTheme="minorEastAsia" w:hAnsiTheme="minorEastAsia" w:eastAsiaTheme="minorEastAsia" w:cstheme="minorEastAsia"/>
          <w:color w:val="auto"/>
          <w:highlight w:val="none"/>
          <w:lang w:val="zh-TW" w:eastAsia="zh-TW"/>
        </w:rPr>
        <w:t>合理安排运输时间、进度，做好配合工作。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7.3乙方应严格按安全规章制度执行，运送货物期间做好安全防护工作</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lang w:val="zh-TW" w:eastAsia="zh-TW"/>
        </w:rPr>
        <w:t>由于乙方原因及其工作人员造成的一切损失（包括但不限于给</w:t>
      </w:r>
      <w:r>
        <w:rPr>
          <w:rStyle w:val="37"/>
          <w:rFonts w:asciiTheme="minorEastAsia" w:hAnsiTheme="minorEastAsia" w:eastAsiaTheme="minorEastAsia" w:cstheme="minorEastAsia"/>
          <w:color w:val="auto"/>
          <w:highlight w:val="none"/>
          <w:lang w:val="zh-TW"/>
        </w:rPr>
        <w:t>甲方</w:t>
      </w:r>
      <w:r>
        <w:rPr>
          <w:rStyle w:val="37"/>
          <w:rFonts w:asciiTheme="minorEastAsia" w:hAnsiTheme="minorEastAsia" w:eastAsiaTheme="minorEastAsia" w:cstheme="minorEastAsia"/>
          <w:color w:val="auto"/>
          <w:highlight w:val="none"/>
        </w:rPr>
        <w:t>和/或</w:t>
      </w:r>
      <w:r>
        <w:rPr>
          <w:rStyle w:val="37"/>
          <w:rFonts w:asciiTheme="minorEastAsia" w:hAnsiTheme="minorEastAsia" w:eastAsiaTheme="minorEastAsia" w:cstheme="minorEastAsia"/>
          <w:color w:val="auto"/>
          <w:highlight w:val="none"/>
          <w:lang w:val="zh-TW" w:eastAsia="zh-TW"/>
        </w:rPr>
        <w:t>第三方造成的人身及财产损失），均由乙方负责，甲方不负任何责任。</w:t>
      </w:r>
    </w:p>
    <w:p>
      <w:pPr>
        <w:pStyle w:val="36"/>
        <w:spacing w:line="360" w:lineRule="exact"/>
        <w:ind w:right="28" w:firstLine="420"/>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乙方须负责所供货物的运输和保护工作，所供产品</w:t>
      </w:r>
      <w:r>
        <w:rPr>
          <w:rStyle w:val="37"/>
          <w:rFonts w:asciiTheme="minorEastAsia" w:hAnsiTheme="minorEastAsia" w:eastAsiaTheme="minorEastAsia" w:cstheme="minorEastAsia"/>
          <w:color w:val="auto"/>
          <w:highlight w:val="none"/>
          <w:lang w:val="zh-TW"/>
        </w:rPr>
        <w:t>所有权自</w:t>
      </w:r>
      <w:r>
        <w:rPr>
          <w:rStyle w:val="37"/>
          <w:rFonts w:asciiTheme="minorEastAsia" w:hAnsiTheme="minorEastAsia" w:eastAsiaTheme="minorEastAsia" w:cstheme="minorEastAsia"/>
          <w:color w:val="auto"/>
          <w:highlight w:val="none"/>
          <w:lang w:val="zh-TW" w:eastAsia="zh-TW"/>
        </w:rPr>
        <w:t>验收合格并移交甲方使用之日起转移给甲方。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5</w:t>
      </w:r>
      <w:r>
        <w:rPr>
          <w:rStyle w:val="37"/>
          <w:rFonts w:asciiTheme="minorEastAsia" w:hAnsiTheme="minorEastAsia" w:eastAsiaTheme="minorEastAsia" w:cstheme="minorEastAsia"/>
          <w:color w:val="auto"/>
          <w:highlight w:val="none"/>
          <w:lang w:val="zh-TW" w:eastAsia="zh-TW"/>
        </w:rPr>
        <w:t>乙方须保证拥有满足甲方按照本</w:t>
      </w:r>
      <w:r>
        <w:rPr>
          <w:rStyle w:val="37"/>
          <w:rFonts w:asciiTheme="minorEastAsia" w:hAnsiTheme="minorEastAsia" w:eastAsiaTheme="minorEastAsia" w:cstheme="minorEastAsia"/>
          <w:color w:val="auto"/>
          <w:highlight w:val="none"/>
        </w:rPr>
        <w:t>合同</w:t>
      </w:r>
      <w:r>
        <w:rPr>
          <w:rStyle w:val="37"/>
          <w:rFonts w:asciiTheme="minorEastAsia" w:hAnsiTheme="minorEastAsia" w:eastAsiaTheme="minorEastAsia" w:cstheme="minorEastAsia"/>
          <w:color w:val="auto"/>
          <w:highlight w:val="none"/>
          <w:lang w:val="zh-TW" w:eastAsia="zh-TW"/>
        </w:rPr>
        <w:t>规定供货</w:t>
      </w:r>
      <w:r>
        <w:rPr>
          <w:rStyle w:val="37"/>
          <w:rFonts w:asciiTheme="minorEastAsia" w:hAnsiTheme="minorEastAsia" w:eastAsiaTheme="minorEastAsia" w:cstheme="minorEastAsia"/>
          <w:color w:val="auto"/>
          <w:highlight w:val="none"/>
        </w:rPr>
        <w:t>及履行保修期内维保义务</w:t>
      </w:r>
      <w:r>
        <w:rPr>
          <w:rStyle w:val="37"/>
          <w:rFonts w:asciiTheme="minorEastAsia" w:hAnsiTheme="minorEastAsia" w:eastAsiaTheme="minorEastAsia" w:cstheme="minorEastAsia"/>
          <w:color w:val="auto"/>
          <w:highlight w:val="none"/>
          <w:lang w:val="zh-TW" w:eastAsia="zh-TW"/>
        </w:rPr>
        <w:t>的能力。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6</w:t>
      </w:r>
      <w:r>
        <w:rPr>
          <w:rStyle w:val="37"/>
          <w:rFonts w:asciiTheme="minorEastAsia" w:hAnsiTheme="minorEastAsia" w:eastAsiaTheme="minorEastAsia" w:cstheme="minorEastAsia"/>
          <w:color w:val="auto"/>
          <w:highlight w:val="none"/>
          <w:lang w:val="zh-TW" w:eastAsia="zh-TW"/>
        </w:rPr>
        <w:t>乙方须保证交付的产品质量符合合同约定的标准以及相关国家、地方与行业标准。存在多个标准的，应保证符合最高标准。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7</w:t>
      </w:r>
      <w:r>
        <w:rPr>
          <w:rStyle w:val="37"/>
          <w:rFonts w:asciiTheme="minorEastAsia" w:hAnsiTheme="minorEastAsia" w:eastAsiaTheme="minorEastAsia" w:cstheme="minorEastAsia"/>
          <w:color w:val="auto"/>
          <w:highlight w:val="none"/>
          <w:lang w:val="zh-TW" w:eastAsia="zh-TW"/>
        </w:rPr>
        <w:t>乙方须保证所提供产品无国家或地区不合格抽检记录，生产所需的材料、元器件来源可靠、产品生产规范，无材料、元器件掺假等行为。</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8</w:t>
      </w:r>
      <w:r>
        <w:rPr>
          <w:rStyle w:val="37"/>
          <w:rFonts w:asciiTheme="minorEastAsia" w:hAnsiTheme="minorEastAsia" w:eastAsiaTheme="minorEastAsia" w:cstheme="minorEastAsia"/>
          <w:color w:val="auto"/>
          <w:highlight w:val="none"/>
          <w:lang w:val="zh-TW" w:eastAsia="zh-TW"/>
        </w:rPr>
        <w:t>乙方须向甲方提供乙方所供产品的详细资料，包括</w:t>
      </w:r>
      <w:r>
        <w:rPr>
          <w:rStyle w:val="37"/>
          <w:rFonts w:asciiTheme="minorEastAsia" w:hAnsiTheme="minorEastAsia" w:eastAsiaTheme="minorEastAsia" w:cstheme="minorEastAsia"/>
          <w:color w:val="auto"/>
          <w:highlight w:val="none"/>
        </w:rPr>
        <w:t>但不限于</w:t>
      </w:r>
      <w:r>
        <w:rPr>
          <w:rStyle w:val="37"/>
          <w:rFonts w:asciiTheme="minorEastAsia" w:hAnsiTheme="minorEastAsia" w:eastAsiaTheme="minorEastAsia" w:cstheme="minorEastAsia"/>
          <w:color w:val="auto"/>
          <w:highlight w:val="none"/>
          <w:lang w:val="zh-TW" w:eastAsia="zh-TW"/>
        </w:rPr>
        <w:t>产品性能介绍、技术参数数据、检验报告、图片资料</w:t>
      </w:r>
      <w:r>
        <w:rPr>
          <w:rStyle w:val="37"/>
          <w:rFonts w:asciiTheme="minorEastAsia" w:hAnsiTheme="minorEastAsia" w:eastAsiaTheme="minorEastAsia" w:cstheme="minorEastAsia"/>
          <w:color w:val="auto"/>
          <w:highlight w:val="none"/>
          <w:lang w:val="zh-TW"/>
        </w:rPr>
        <w:t>、合格证</w:t>
      </w:r>
      <w:r>
        <w:rPr>
          <w:rStyle w:val="37"/>
          <w:rFonts w:asciiTheme="minorEastAsia" w:hAnsiTheme="minorEastAsia" w:eastAsiaTheme="minorEastAsia" w:cstheme="minorEastAsia"/>
          <w:color w:val="auto"/>
          <w:highlight w:val="none"/>
          <w:lang w:val="zh-TW" w:eastAsia="zh-TW"/>
        </w:rPr>
        <w:t>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u w:color="050606"/>
          <w:lang w:val="zh-TW" w:eastAsia="zh-TW"/>
        </w:rPr>
      </w:pPr>
      <w:bookmarkStart w:id="151" w:name="_Toc9764"/>
      <w:bookmarkStart w:id="152" w:name="_Toc5680"/>
      <w:r>
        <w:rPr>
          <w:rStyle w:val="37"/>
          <w:rFonts w:asciiTheme="minorEastAsia" w:hAnsiTheme="minorEastAsia" w:eastAsiaTheme="minorEastAsia" w:cstheme="minorEastAsia"/>
          <w:b/>
          <w:bCs/>
          <w:color w:val="auto"/>
          <w:highlight w:val="none"/>
          <w:u w:color="050606"/>
          <w:lang w:val="zh-TW" w:eastAsia="zh-TW"/>
        </w:rPr>
        <w:t>第八条 货物验收</w:t>
      </w:r>
      <w:bookmarkEnd w:id="151"/>
      <w:bookmarkEnd w:id="152"/>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1</w:t>
      </w:r>
      <w:r>
        <w:rPr>
          <w:rStyle w:val="37"/>
          <w:rFonts w:asciiTheme="minorEastAsia" w:hAnsiTheme="minorEastAsia" w:eastAsiaTheme="minorEastAsia" w:cstheme="minorEastAsia"/>
          <w:color w:val="auto"/>
          <w:highlight w:val="none"/>
          <w:lang w:val="zh-TW" w:eastAsia="zh-TW"/>
        </w:rPr>
        <w:t>所供货物运到项目地，甲方负责</w:t>
      </w:r>
      <w:r>
        <w:rPr>
          <w:rStyle w:val="37"/>
          <w:rFonts w:asciiTheme="minorEastAsia" w:hAnsiTheme="minorEastAsia" w:eastAsiaTheme="minorEastAsia" w:cstheme="minorEastAsia"/>
          <w:color w:val="auto"/>
          <w:highlight w:val="none"/>
          <w:lang w:val="zh-TW"/>
        </w:rPr>
        <w:t>初步</w:t>
      </w:r>
      <w:r>
        <w:rPr>
          <w:rStyle w:val="37"/>
          <w:rFonts w:asciiTheme="minorEastAsia" w:hAnsiTheme="minorEastAsia" w:eastAsiaTheme="minorEastAsia" w:cstheme="minorEastAsia"/>
          <w:color w:val="auto"/>
          <w:highlight w:val="none"/>
          <w:lang w:val="zh-TW" w:eastAsia="zh-TW"/>
        </w:rPr>
        <w:t>验收。</w:t>
      </w:r>
      <w:r>
        <w:rPr>
          <w:rStyle w:val="37"/>
          <w:rFonts w:asciiTheme="minorEastAsia" w:hAnsiTheme="minorEastAsia" w:eastAsiaTheme="minorEastAsia" w:cstheme="minorEastAsia"/>
          <w:color w:val="auto"/>
          <w:highlight w:val="none"/>
          <w:lang w:val="zh-TW"/>
        </w:rPr>
        <w:t>甲方收到货物后10日内有权对数量、质量不符合合同要求的产品提出异议，乙方应</w:t>
      </w:r>
      <w:r>
        <w:rPr>
          <w:rStyle w:val="37"/>
          <w:rFonts w:asciiTheme="minorEastAsia" w:hAnsiTheme="minorEastAsia" w:eastAsiaTheme="minorEastAsia" w:cstheme="minorEastAsia"/>
          <w:color w:val="auto"/>
          <w:highlight w:val="none"/>
        </w:rPr>
        <w:t>无条件</w:t>
      </w:r>
      <w:r>
        <w:rPr>
          <w:rStyle w:val="37"/>
          <w:rFonts w:asciiTheme="minorEastAsia" w:hAnsiTheme="minorEastAsia" w:eastAsiaTheme="minorEastAsia" w:cstheme="minorEastAsia"/>
          <w:color w:val="auto"/>
          <w:highlight w:val="none"/>
          <w:lang w:val="zh-TW"/>
        </w:rPr>
        <w:t>予</w:t>
      </w:r>
      <w:r>
        <w:rPr>
          <w:rStyle w:val="37"/>
          <w:rFonts w:asciiTheme="minorEastAsia" w:hAnsiTheme="minorEastAsia" w:eastAsiaTheme="minorEastAsia" w:cstheme="minorEastAsia"/>
          <w:color w:val="auto"/>
          <w:highlight w:val="none"/>
        </w:rPr>
        <w:t>以</w:t>
      </w:r>
      <w:r>
        <w:rPr>
          <w:rStyle w:val="37"/>
          <w:rFonts w:asciiTheme="minorEastAsia" w:hAnsiTheme="minorEastAsia" w:eastAsiaTheme="minorEastAsia" w:cstheme="minorEastAsia"/>
          <w:color w:val="auto"/>
          <w:highlight w:val="none"/>
          <w:lang w:val="zh-TW"/>
        </w:rPr>
        <w:t>解决。该检验仅针对数量、外观，隐蔽瑕疵检验期间为调试验收合格后一年。</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2</w:t>
      </w:r>
      <w:r>
        <w:rPr>
          <w:rStyle w:val="37"/>
          <w:rFonts w:asciiTheme="minorEastAsia" w:hAnsiTheme="minorEastAsia" w:eastAsiaTheme="minorEastAsia" w:cstheme="minorEastAsia"/>
          <w:color w:val="auto"/>
          <w:highlight w:val="none"/>
          <w:lang w:val="zh-TW" w:eastAsia="zh-TW"/>
        </w:rPr>
        <w:t>在验收过程中，如发现所供产品质量不符合</w:t>
      </w:r>
      <w:r>
        <w:rPr>
          <w:rStyle w:val="37"/>
          <w:rFonts w:asciiTheme="minorEastAsia" w:hAnsiTheme="minorEastAsia" w:eastAsiaTheme="minorEastAsia" w:cstheme="minorEastAsia"/>
          <w:color w:val="auto"/>
          <w:highlight w:val="none"/>
        </w:rPr>
        <w:t>合同约定或</w:t>
      </w:r>
      <w:r>
        <w:rPr>
          <w:rStyle w:val="37"/>
          <w:rFonts w:asciiTheme="minorEastAsia" w:hAnsiTheme="minorEastAsia" w:eastAsiaTheme="minorEastAsia" w:cstheme="minorEastAsia"/>
          <w:color w:val="auto"/>
          <w:highlight w:val="none"/>
          <w:lang w:val="zh-TW" w:eastAsia="zh-TW"/>
        </w:rPr>
        <w:t>投标文件</w:t>
      </w:r>
      <w:r>
        <w:rPr>
          <w:rStyle w:val="37"/>
          <w:rFonts w:asciiTheme="minorEastAsia" w:hAnsiTheme="minorEastAsia" w:eastAsiaTheme="minorEastAsia" w:cstheme="minorEastAsia"/>
          <w:color w:val="auto"/>
          <w:highlight w:val="none"/>
        </w:rPr>
        <w:t>承诺</w:t>
      </w:r>
      <w:r>
        <w:rPr>
          <w:rFonts w:asciiTheme="minorEastAsia" w:hAnsiTheme="minorEastAsia" w:eastAsiaTheme="minorEastAsia" w:cstheme="minorEastAsia"/>
          <w:color w:val="auto"/>
          <w:highlight w:val="none"/>
        </w:rPr>
        <w:t>的产品性能</w:t>
      </w:r>
      <w:r>
        <w:rPr>
          <w:rStyle w:val="37"/>
          <w:rFonts w:asciiTheme="minorEastAsia" w:hAnsiTheme="minorEastAsia" w:eastAsiaTheme="minorEastAsia" w:cstheme="minorEastAsia"/>
          <w:color w:val="auto"/>
          <w:highlight w:val="none"/>
          <w:lang w:val="zh-TW" w:eastAsia="zh-TW"/>
        </w:rPr>
        <w:t>，乙方应负责</w:t>
      </w:r>
      <w:r>
        <w:rPr>
          <w:rStyle w:val="37"/>
          <w:rFonts w:asciiTheme="minorEastAsia" w:hAnsiTheme="minorEastAsia" w:eastAsiaTheme="minorEastAsia" w:cstheme="minorEastAsia"/>
          <w:color w:val="auto"/>
          <w:highlight w:val="none"/>
        </w:rPr>
        <w:t>在甲方要求期限无条件完成</w:t>
      </w:r>
      <w:r>
        <w:rPr>
          <w:rStyle w:val="37"/>
          <w:rFonts w:asciiTheme="minorEastAsia" w:hAnsiTheme="minorEastAsia" w:eastAsiaTheme="minorEastAsia" w:cstheme="minorEastAsia"/>
          <w:color w:val="auto"/>
          <w:highlight w:val="none"/>
          <w:lang w:val="zh-TW" w:eastAsia="zh-TW"/>
        </w:rPr>
        <w:t>更换并</w:t>
      </w:r>
      <w:r>
        <w:rPr>
          <w:rStyle w:val="37"/>
          <w:rFonts w:asciiTheme="minorEastAsia" w:hAnsiTheme="minorEastAsia" w:eastAsiaTheme="minorEastAsia" w:cstheme="minorEastAsia"/>
          <w:color w:val="auto"/>
          <w:highlight w:val="none"/>
        </w:rPr>
        <w:t>承担因此产生的全部费用</w:t>
      </w:r>
      <w:r>
        <w:rPr>
          <w:rStyle w:val="37"/>
          <w:rFonts w:asciiTheme="minorEastAsia" w:hAnsiTheme="minorEastAsia" w:eastAsiaTheme="minorEastAsia" w:cstheme="minorEastAsia"/>
          <w:color w:val="auto"/>
          <w:highlight w:val="none"/>
          <w:lang w:val="zh-TW" w:eastAsia="zh-TW"/>
        </w:rPr>
        <w:t>。经甲方验收合格后，再行移交，且供货截止日期不予顺延，费用不予增加。</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8.</w:t>
      </w:r>
      <w:r>
        <w:rPr>
          <w:rStyle w:val="37"/>
          <w:rFonts w:asciiTheme="minorEastAsia" w:hAnsiTheme="minorEastAsia" w:eastAsiaTheme="minorEastAsia" w:cstheme="minorEastAsia"/>
          <w:color w:val="auto"/>
          <w:highlight w:val="none"/>
          <w:u w:color="050606"/>
          <w:lang w:val="zh-TW"/>
        </w:rPr>
        <w:t>3</w:t>
      </w:r>
      <w:r>
        <w:rPr>
          <w:rStyle w:val="37"/>
          <w:rFonts w:asciiTheme="minorEastAsia" w:hAnsiTheme="minorEastAsia" w:eastAsiaTheme="minorEastAsia" w:cstheme="minorEastAsia"/>
          <w:color w:val="auto"/>
          <w:highlight w:val="none"/>
          <w:u w:color="050606"/>
          <w:lang w:val="zh-TW" w:eastAsia="zh-TW"/>
        </w:rPr>
        <w:t>乙方向甲方书面提供到货清单，验收时乙方应向甲方提供完备的符合规定的验收资料，包括并不限于以下内容：</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（a）产品合格证、使用说明书；</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（b）加盖乙方公章的供货清单。</w:t>
      </w:r>
    </w:p>
    <w:p>
      <w:pPr>
        <w:pStyle w:val="36"/>
        <w:spacing w:line="360" w:lineRule="exact"/>
        <w:ind w:right="29" w:firstLine="420"/>
        <w:rPr>
          <w:rStyle w:val="37"/>
          <w:rFonts w:hint="default" w:asciiTheme="minorEastAsia" w:hAnsiTheme="minorEastAsia" w:eastAsiaTheme="minorEastAsia" w:cstheme="minorEastAsia"/>
          <w:color w:val="auto"/>
          <w:highlight w:val="none"/>
          <w:lang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合同范围内全部货物（设备）如在供货后不能达到甲方使用要求的，乙方须无偿更换，直到满足甲方使用要求</w:t>
      </w:r>
      <w:r>
        <w:rPr>
          <w:rStyle w:val="37"/>
          <w:rFonts w:asciiTheme="minorEastAsia" w:hAnsiTheme="minorEastAsia" w:eastAsiaTheme="minorEastAsia" w:cstheme="minorEastAsia"/>
          <w:color w:val="auto"/>
          <w:highlight w:val="none"/>
          <w:lang w:val="zh-TW"/>
        </w:rPr>
        <w:t>，乙方还需承担由此造成的甲方一切损失</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53" w:name="_Toc3364"/>
      <w:bookmarkStart w:id="154" w:name="_Toc27099"/>
      <w:r>
        <w:rPr>
          <w:rStyle w:val="37"/>
          <w:rFonts w:asciiTheme="minorEastAsia" w:hAnsiTheme="minorEastAsia" w:eastAsiaTheme="minorEastAsia" w:cstheme="minorEastAsia"/>
          <w:b/>
          <w:bCs/>
          <w:color w:val="auto"/>
          <w:highlight w:val="none"/>
          <w:lang w:val="zh-TW" w:eastAsia="zh-TW"/>
        </w:rPr>
        <w:t>第九条 货物供应</w:t>
      </w:r>
      <w:bookmarkEnd w:id="153"/>
      <w:bookmarkEnd w:id="154"/>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9.1合同范围内所有货物、</w:t>
      </w:r>
      <w:r>
        <w:rPr>
          <w:rStyle w:val="37"/>
          <w:rFonts w:asciiTheme="minorEastAsia" w:hAnsiTheme="minorEastAsia" w:eastAsiaTheme="minorEastAsia" w:cstheme="minorEastAsia"/>
          <w:color w:val="auto"/>
          <w:highlight w:val="none"/>
        </w:rPr>
        <w:t>备</w:t>
      </w:r>
      <w:r>
        <w:rPr>
          <w:rStyle w:val="37"/>
          <w:rFonts w:asciiTheme="minorEastAsia" w:hAnsiTheme="minorEastAsia" w:eastAsiaTheme="minorEastAsia" w:cstheme="minorEastAsia"/>
          <w:color w:val="auto"/>
          <w:highlight w:val="none"/>
          <w:lang w:val="zh-TW" w:eastAsia="zh-TW"/>
        </w:rPr>
        <w:t>配件为乙方供应，乙方必须按照投标文件中承诺的产品品牌及型号等供货。未经甲方</w:t>
      </w:r>
      <w:r>
        <w:rPr>
          <w:rStyle w:val="37"/>
          <w:rFonts w:asciiTheme="minorEastAsia" w:hAnsiTheme="minorEastAsia" w:eastAsiaTheme="minorEastAsia" w:cstheme="minorEastAsia"/>
          <w:color w:val="auto"/>
          <w:highlight w:val="none"/>
        </w:rPr>
        <w:t>书面</w:t>
      </w:r>
      <w:r>
        <w:rPr>
          <w:rStyle w:val="37"/>
          <w:rFonts w:asciiTheme="minorEastAsia" w:hAnsiTheme="minorEastAsia" w:eastAsiaTheme="minorEastAsia" w:cstheme="minorEastAsia"/>
          <w:color w:val="auto"/>
          <w:highlight w:val="none"/>
          <w:lang w:val="zh-TW" w:eastAsia="zh-TW"/>
        </w:rPr>
        <w:t>同意，乙方私自更改设备与材料品牌或型号等，一经发现，乙方应无条件按照甲方原要求供货，并向甲方支付</w:t>
      </w:r>
      <w:r>
        <w:rPr>
          <w:rStyle w:val="37"/>
          <w:rFonts w:asciiTheme="minorEastAsia" w:hAnsiTheme="minorEastAsia" w:eastAsiaTheme="minorEastAsia" w:cstheme="minorEastAsia"/>
          <w:color w:val="auto"/>
          <w:highlight w:val="none"/>
          <w:u w:val="single"/>
          <w:lang w:val="zh-TW" w:eastAsia="zh-TW"/>
        </w:rPr>
        <w:t>￥1000元/次</w:t>
      </w:r>
      <w:r>
        <w:rPr>
          <w:rStyle w:val="37"/>
          <w:rFonts w:asciiTheme="minorEastAsia" w:hAnsiTheme="minorEastAsia" w:eastAsiaTheme="minorEastAsia" w:cstheme="minorEastAsia"/>
          <w:color w:val="auto"/>
          <w:highlight w:val="none"/>
          <w:lang w:val="zh-TW" w:eastAsia="zh-TW"/>
        </w:rPr>
        <w:t>的违约金，由此给甲方造成的一切损失均由乙方承担。</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9.2合同范围内货物进场后</w:t>
      </w:r>
      <w:r>
        <w:rPr>
          <w:rStyle w:val="37"/>
          <w:rFonts w:asciiTheme="minorEastAsia" w:hAnsiTheme="minorEastAsia" w:eastAsiaTheme="minorEastAsia" w:cstheme="minorEastAsia"/>
          <w:color w:val="auto"/>
          <w:highlight w:val="none"/>
          <w:lang w:val="zh-TW"/>
        </w:rPr>
        <w:t>，乙方</w:t>
      </w:r>
      <w:r>
        <w:rPr>
          <w:rStyle w:val="37"/>
          <w:rFonts w:asciiTheme="minorEastAsia" w:hAnsiTheme="minorEastAsia" w:eastAsiaTheme="minorEastAsia" w:cstheme="minorEastAsia"/>
          <w:color w:val="auto"/>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36"/>
        <w:numPr>
          <w:ilvl w:val="0"/>
          <w:numId w:val="28"/>
        </w:numPr>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55" w:name="_Toc7814"/>
      <w:bookmarkStart w:id="156" w:name="_Toc9686"/>
      <w:r>
        <w:rPr>
          <w:rStyle w:val="37"/>
          <w:rFonts w:asciiTheme="minorEastAsia" w:hAnsiTheme="minorEastAsia" w:eastAsiaTheme="minorEastAsia" w:cstheme="minorEastAsia"/>
          <w:b/>
          <w:bCs/>
          <w:color w:val="auto"/>
          <w:highlight w:val="none"/>
          <w:u w:color="050606"/>
          <w:lang w:val="zh-TW" w:eastAsia="zh-TW"/>
        </w:rPr>
        <w:t>知识产权</w:t>
      </w:r>
      <w:bookmarkEnd w:id="155"/>
      <w:bookmarkEnd w:id="156"/>
    </w:p>
    <w:p>
      <w:pPr>
        <w:pStyle w:val="36"/>
        <w:spacing w:line="360" w:lineRule="exact"/>
        <w:ind w:firstLine="420" w:firstLineChars="200"/>
        <w:outlineLvl w:val="0"/>
        <w:rPr>
          <w:rStyle w:val="37"/>
          <w:rFonts w:hint="default" w:asciiTheme="minorEastAsia" w:hAnsiTheme="minorEastAsia" w:eastAsiaTheme="minorEastAsia" w:cstheme="minorEastAsia"/>
          <w:color w:val="auto"/>
          <w:highlight w:val="none"/>
          <w:u w:color="050606"/>
          <w:lang w:val="zh-TW"/>
        </w:rPr>
      </w:pPr>
      <w:bookmarkStart w:id="157" w:name="_Toc4254"/>
      <w:bookmarkStart w:id="158" w:name="_Toc27374"/>
      <w:r>
        <w:rPr>
          <w:rStyle w:val="37"/>
          <w:rFonts w:asciiTheme="minorEastAsia" w:hAnsiTheme="minorEastAsia" w:eastAsiaTheme="minorEastAsia" w:cstheme="minorEastAsia"/>
          <w:color w:val="auto"/>
          <w:highlight w:val="none"/>
          <w:u w:color="050606"/>
          <w:lang w:val="zh-TW" w:eastAsia="zh-TW"/>
        </w:rPr>
        <w:t>10.1</w:t>
      </w:r>
      <w:r>
        <w:rPr>
          <w:rStyle w:val="37"/>
          <w:rFonts w:asciiTheme="minorEastAsia" w:hAnsiTheme="minorEastAsia" w:eastAsiaTheme="minorEastAsia" w:cstheme="minorEastAsia"/>
          <w:color w:val="auto"/>
          <w:highlight w:val="none"/>
          <w:u w:color="050606"/>
          <w:lang w:val="zh-TW"/>
        </w:rPr>
        <w:t>所有本合同有关条款及内容，</w:t>
      </w:r>
      <w:r>
        <w:rPr>
          <w:rStyle w:val="37"/>
          <w:rFonts w:asciiTheme="minorEastAsia" w:hAnsiTheme="minorEastAsia" w:eastAsiaTheme="minorEastAsia" w:cstheme="minorEastAsia"/>
          <w:color w:val="auto"/>
          <w:highlight w:val="none"/>
          <w:u w:color="050606"/>
          <w:lang w:val="zh-TW" w:eastAsia="zh-TW"/>
        </w:rPr>
        <w:t>属于甲方商业秘密，未经甲方</w:t>
      </w:r>
      <w:r>
        <w:rPr>
          <w:rStyle w:val="37"/>
          <w:rFonts w:asciiTheme="minorEastAsia" w:hAnsiTheme="minorEastAsia" w:eastAsiaTheme="minorEastAsia" w:cstheme="minorEastAsia"/>
          <w:color w:val="auto"/>
          <w:highlight w:val="none"/>
          <w:u w:color="050606"/>
        </w:rPr>
        <w:t>书面</w:t>
      </w:r>
      <w:r>
        <w:rPr>
          <w:rStyle w:val="37"/>
          <w:rFonts w:asciiTheme="minorEastAsia" w:hAnsiTheme="minorEastAsia" w:eastAsiaTheme="minorEastAsia" w:cstheme="minorEastAsia"/>
          <w:color w:val="auto"/>
          <w:highlight w:val="none"/>
          <w:u w:color="050606"/>
          <w:lang w:val="zh-TW" w:eastAsia="zh-TW"/>
        </w:rPr>
        <w:t>同意，乙方不得擅自向任何第三人泄露，如有违约由乙方承担相应责任</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且该等保密义务不因合同的终止而免除</w:t>
      </w:r>
      <w:r>
        <w:rPr>
          <w:rStyle w:val="37"/>
          <w:rFonts w:asciiTheme="minorEastAsia" w:hAnsiTheme="minorEastAsia" w:eastAsiaTheme="minorEastAsia" w:cstheme="minorEastAsia"/>
          <w:color w:val="auto"/>
          <w:highlight w:val="none"/>
          <w:u w:color="050606"/>
          <w:lang w:val="zh-TW" w:eastAsia="zh-TW"/>
        </w:rPr>
        <w:t>。</w:t>
      </w:r>
      <w:bookmarkEnd w:id="157"/>
      <w:bookmarkEnd w:id="158"/>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l0.2乙方就交付的标的物，负有保证第三人对该</w:t>
      </w:r>
      <w:r>
        <w:rPr>
          <w:rStyle w:val="37"/>
          <w:rFonts w:asciiTheme="minorEastAsia" w:hAnsiTheme="minorEastAsia" w:eastAsiaTheme="minorEastAsia" w:cstheme="minorEastAsia"/>
          <w:color w:val="auto"/>
          <w:highlight w:val="none"/>
          <w:u w:color="050606"/>
        </w:rPr>
        <w:t>产品</w:t>
      </w:r>
      <w:r>
        <w:rPr>
          <w:rStyle w:val="37"/>
          <w:rFonts w:asciiTheme="minorEastAsia" w:hAnsiTheme="minorEastAsia" w:eastAsiaTheme="minorEastAsia" w:cstheme="minorEastAsia"/>
          <w:color w:val="auto"/>
          <w:highlight w:val="none"/>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律师费</w:t>
      </w:r>
      <w:r>
        <w:rPr>
          <w:rStyle w:val="37"/>
          <w:rFonts w:asciiTheme="minorEastAsia" w:hAnsiTheme="minorEastAsia" w:eastAsiaTheme="minorEastAsia" w:cstheme="minorEastAsia"/>
          <w:color w:val="auto"/>
          <w:highlight w:val="none"/>
          <w:u w:color="050606"/>
          <w:lang w:val="zh-TW" w:eastAsia="zh-TW"/>
        </w:rPr>
        <w:t>和相关的所有费用。</w:t>
      </w:r>
    </w:p>
    <w:p>
      <w:pPr>
        <w:pStyle w:val="36"/>
        <w:numPr>
          <w:ilvl w:val="0"/>
          <w:numId w:val="28"/>
        </w:numPr>
        <w:spacing w:line="360" w:lineRule="exact"/>
        <w:rPr>
          <w:rStyle w:val="37"/>
          <w:rFonts w:hint="default" w:asciiTheme="minorEastAsia" w:hAnsiTheme="minorEastAsia" w:eastAsiaTheme="minorEastAsia" w:cstheme="minorEastAsia"/>
          <w:b/>
          <w:bCs/>
          <w:color w:val="auto"/>
          <w:highlight w:val="none"/>
          <w:u w:color="050606"/>
        </w:rPr>
      </w:pPr>
      <w:r>
        <w:rPr>
          <w:rStyle w:val="37"/>
          <w:rFonts w:asciiTheme="minorEastAsia" w:hAnsiTheme="minorEastAsia" w:eastAsiaTheme="minorEastAsia" w:cstheme="minorEastAsia"/>
          <w:b/>
          <w:bCs/>
          <w:color w:val="auto"/>
          <w:highlight w:val="none"/>
          <w:u w:color="050606"/>
        </w:rPr>
        <w:t>履约保证金</w:t>
      </w:r>
    </w:p>
    <w:p>
      <w:pPr>
        <w:pStyle w:val="36"/>
        <w:spacing w:line="360" w:lineRule="exact"/>
        <w:ind w:firstLine="420"/>
        <w:rPr>
          <w:rStyle w:val="37"/>
          <w:rFonts w:hint="default" w:asciiTheme="minorEastAsia" w:hAnsiTheme="minorEastAsia" w:eastAsiaTheme="minorEastAsia" w:cstheme="minorEastAsia"/>
          <w:color w:val="auto"/>
          <w:szCs w:val="22"/>
          <w:highlight w:val="none"/>
          <w:u w:color="050606"/>
          <w:lang w:val="zh-TW" w:eastAsia="zh-TW"/>
        </w:rPr>
      </w:pPr>
      <w:r>
        <w:rPr>
          <w:rStyle w:val="37"/>
          <w:rFonts w:asciiTheme="minorEastAsia" w:hAnsiTheme="minorEastAsia" w:eastAsiaTheme="minorEastAsia" w:cstheme="minorEastAsia"/>
          <w:color w:val="auto"/>
          <w:szCs w:val="22"/>
          <w:highlight w:val="none"/>
          <w:u w:color="050606"/>
        </w:rPr>
        <w:t>11.</w:t>
      </w:r>
      <w:r>
        <w:rPr>
          <w:rStyle w:val="37"/>
          <w:rFonts w:asciiTheme="minorEastAsia" w:hAnsiTheme="minorEastAsia" w:eastAsiaTheme="minorEastAsia" w:cstheme="minorEastAsia"/>
          <w:color w:val="auto"/>
          <w:szCs w:val="22"/>
          <w:highlight w:val="none"/>
          <w:u w:color="050606"/>
          <w:lang w:val="zh-TW" w:eastAsia="zh-TW"/>
        </w:rPr>
        <w:t>1合同生效后乙方</w:t>
      </w:r>
      <w:r>
        <w:rPr>
          <w:rStyle w:val="37"/>
          <w:rFonts w:asciiTheme="minorEastAsia" w:hAnsiTheme="minorEastAsia" w:eastAsiaTheme="minorEastAsia" w:cstheme="minorEastAsia"/>
          <w:color w:val="auto"/>
          <w:szCs w:val="22"/>
          <w:highlight w:val="none"/>
          <w:u w:color="050606"/>
          <w:lang w:val="zh-TW"/>
        </w:rPr>
        <w:t>在投标时交纳的投标保证金自动转为履约保证金，即</w:t>
      </w:r>
      <w:r>
        <w:rPr>
          <w:rStyle w:val="37"/>
          <w:rFonts w:asciiTheme="minorEastAsia" w:hAnsiTheme="minorEastAsia" w:eastAsiaTheme="minorEastAsia" w:cstheme="minorEastAsia"/>
          <w:color w:val="auto"/>
          <w:szCs w:val="22"/>
          <w:highlight w:val="none"/>
          <w:u w:color="050606"/>
          <w:lang w:val="zh-TW" w:eastAsia="zh-TW"/>
        </w:rPr>
        <w:t>为人民币￥元</w:t>
      </w:r>
      <w:r>
        <w:rPr>
          <w:rStyle w:val="37"/>
          <w:rFonts w:asciiTheme="minorEastAsia" w:hAnsiTheme="minorEastAsia" w:eastAsiaTheme="minorEastAsia" w:cstheme="minorEastAsia"/>
          <w:color w:val="auto"/>
          <w:szCs w:val="22"/>
          <w:highlight w:val="none"/>
          <w:u w:color="050606"/>
          <w:lang w:val="zh-TW"/>
        </w:rPr>
        <w:t>（大写：  ）</w:t>
      </w:r>
      <w:r>
        <w:rPr>
          <w:rStyle w:val="37"/>
          <w:rFonts w:asciiTheme="minorEastAsia" w:hAnsiTheme="minorEastAsia" w:eastAsiaTheme="minorEastAsia" w:cstheme="minorEastAsia"/>
          <w:color w:val="auto"/>
          <w:szCs w:val="22"/>
          <w:highlight w:val="none"/>
          <w:u w:color="050606"/>
          <w:lang w:val="zh-TW" w:eastAsia="zh-TW"/>
        </w:rPr>
        <w:t>。</w:t>
      </w:r>
    </w:p>
    <w:p>
      <w:pPr>
        <w:pStyle w:val="36"/>
        <w:spacing w:line="360" w:lineRule="exact"/>
        <w:ind w:firstLine="420"/>
        <w:rPr>
          <w:rStyle w:val="37"/>
          <w:rFonts w:hint="default" w:asciiTheme="minorEastAsia" w:hAnsiTheme="minorEastAsia" w:eastAsiaTheme="minorEastAsia" w:cstheme="minorEastAsia"/>
          <w:color w:val="auto"/>
          <w:szCs w:val="22"/>
          <w:highlight w:val="none"/>
          <w:u w:color="050606"/>
          <w:lang w:val="zh-TW" w:eastAsia="zh-TW"/>
        </w:rPr>
      </w:pPr>
      <w:r>
        <w:rPr>
          <w:rStyle w:val="37"/>
          <w:rFonts w:asciiTheme="minorEastAsia" w:hAnsiTheme="minorEastAsia" w:eastAsiaTheme="minorEastAsia" w:cstheme="minorEastAsia"/>
          <w:color w:val="auto"/>
          <w:szCs w:val="22"/>
          <w:highlight w:val="none"/>
          <w:u w:color="050606"/>
          <w:lang w:val="zh-TW" w:eastAsia="zh-TW"/>
        </w:rPr>
        <w:t>1</w:t>
      </w:r>
      <w:r>
        <w:rPr>
          <w:rStyle w:val="37"/>
          <w:rFonts w:asciiTheme="minorEastAsia" w:hAnsiTheme="minorEastAsia" w:eastAsiaTheme="minorEastAsia" w:cstheme="minorEastAsia"/>
          <w:color w:val="auto"/>
          <w:szCs w:val="22"/>
          <w:highlight w:val="none"/>
          <w:u w:color="050606"/>
        </w:rPr>
        <w:t>1</w:t>
      </w:r>
      <w:r>
        <w:rPr>
          <w:rStyle w:val="37"/>
          <w:rFonts w:asciiTheme="minorEastAsia" w:hAnsiTheme="minorEastAsia" w:eastAsiaTheme="minorEastAsia" w:cstheme="minorEastAsia"/>
          <w:color w:val="auto"/>
          <w:szCs w:val="22"/>
          <w:highlight w:val="none"/>
          <w:u w:color="050606"/>
          <w:lang w:val="zh-TW" w:eastAsia="zh-TW"/>
        </w:rPr>
        <w:t>.2履约保证金</w:t>
      </w:r>
      <w:r>
        <w:rPr>
          <w:rStyle w:val="37"/>
          <w:rFonts w:asciiTheme="minorEastAsia" w:hAnsiTheme="minorEastAsia" w:eastAsiaTheme="minorEastAsia" w:cstheme="minorEastAsia"/>
          <w:color w:val="auto"/>
          <w:szCs w:val="22"/>
          <w:highlight w:val="none"/>
          <w:u w:color="050606"/>
          <w:lang w:val="zh-TW"/>
        </w:rPr>
        <w:t>（不计利息）</w:t>
      </w:r>
      <w:r>
        <w:rPr>
          <w:rStyle w:val="37"/>
          <w:rFonts w:asciiTheme="minorEastAsia" w:hAnsiTheme="minorEastAsia" w:eastAsiaTheme="minorEastAsia" w:cstheme="minorEastAsia"/>
          <w:color w:val="auto"/>
          <w:szCs w:val="22"/>
          <w:highlight w:val="none"/>
          <w:u w:color="050606"/>
          <w:lang w:val="zh-TW" w:eastAsia="zh-TW"/>
        </w:rPr>
        <w:t>在产品交付验收合格后1个月届满之日起10个工作日内</w:t>
      </w:r>
      <w:r>
        <w:rPr>
          <w:rStyle w:val="37"/>
          <w:rFonts w:asciiTheme="minorEastAsia" w:hAnsiTheme="minorEastAsia" w:eastAsiaTheme="minorEastAsia" w:cstheme="minorEastAsia"/>
          <w:color w:val="auto"/>
          <w:szCs w:val="22"/>
          <w:highlight w:val="none"/>
          <w:u w:color="050606"/>
        </w:rPr>
        <w:t>据实</w:t>
      </w:r>
      <w:r>
        <w:rPr>
          <w:rStyle w:val="37"/>
          <w:rFonts w:asciiTheme="minorEastAsia" w:hAnsiTheme="minorEastAsia" w:eastAsiaTheme="minorEastAsia" w:cstheme="minorEastAsia"/>
          <w:color w:val="auto"/>
          <w:szCs w:val="22"/>
          <w:highlight w:val="none"/>
          <w:u w:color="050606"/>
          <w:lang w:val="zh-TW" w:eastAsia="zh-TW"/>
        </w:rPr>
        <w:t>退还乙方。</w:t>
      </w:r>
    </w:p>
    <w:p>
      <w:pPr>
        <w:pStyle w:val="36"/>
        <w:spacing w:line="360" w:lineRule="exact"/>
        <w:ind w:firstLine="420"/>
        <w:rPr>
          <w:rStyle w:val="37"/>
          <w:rFonts w:hint="default" w:asciiTheme="minorEastAsia" w:hAnsiTheme="minorEastAsia" w:eastAsiaTheme="minorEastAsia" w:cstheme="minorEastAsia"/>
          <w:color w:val="auto"/>
          <w:szCs w:val="22"/>
          <w:highlight w:val="none"/>
          <w:u w:color="050606"/>
          <w:lang w:val="zh-TW"/>
        </w:rPr>
      </w:pPr>
      <w:r>
        <w:rPr>
          <w:rStyle w:val="37"/>
          <w:rFonts w:asciiTheme="minorEastAsia" w:hAnsiTheme="minorEastAsia" w:eastAsiaTheme="minorEastAsia" w:cstheme="minorEastAsia"/>
          <w:color w:val="auto"/>
          <w:szCs w:val="22"/>
          <w:highlight w:val="none"/>
          <w:u w:color="050606"/>
          <w:lang w:val="zh-TW" w:eastAsia="zh-TW"/>
        </w:rPr>
        <w:t>1</w:t>
      </w:r>
      <w:r>
        <w:rPr>
          <w:rStyle w:val="37"/>
          <w:rFonts w:asciiTheme="minorEastAsia" w:hAnsiTheme="minorEastAsia" w:eastAsiaTheme="minorEastAsia" w:cstheme="minorEastAsia"/>
          <w:color w:val="auto"/>
          <w:szCs w:val="22"/>
          <w:highlight w:val="none"/>
          <w:u w:color="050606"/>
        </w:rPr>
        <w:t>1</w:t>
      </w:r>
      <w:r>
        <w:rPr>
          <w:rStyle w:val="37"/>
          <w:rFonts w:asciiTheme="minorEastAsia" w:hAnsiTheme="minorEastAsia" w:eastAsiaTheme="minorEastAsia" w:cstheme="minorEastAsia"/>
          <w:color w:val="auto"/>
          <w:szCs w:val="22"/>
          <w:highlight w:val="none"/>
          <w:u w:color="050606"/>
          <w:lang w:val="zh-TW" w:eastAsia="zh-TW"/>
        </w:rPr>
        <w:t>.</w:t>
      </w:r>
      <w:r>
        <w:rPr>
          <w:rStyle w:val="37"/>
          <w:rFonts w:asciiTheme="minorEastAsia" w:hAnsiTheme="minorEastAsia" w:eastAsiaTheme="minorEastAsia" w:cstheme="minorEastAsia"/>
          <w:color w:val="auto"/>
          <w:szCs w:val="22"/>
          <w:highlight w:val="none"/>
          <w:u w:color="050606"/>
          <w:lang w:eastAsia="zh-TW"/>
        </w:rPr>
        <w:t xml:space="preserve">3 </w:t>
      </w:r>
      <w:r>
        <w:rPr>
          <w:rStyle w:val="37"/>
          <w:rFonts w:asciiTheme="minorEastAsia" w:hAnsiTheme="minorEastAsia" w:eastAsiaTheme="minorEastAsia" w:cstheme="minorEastAsia"/>
          <w:color w:val="auto"/>
          <w:szCs w:val="22"/>
          <w:highlight w:val="none"/>
          <w:u w:color="050606"/>
          <w:lang w:val="zh-TW" w:eastAsia="zh-TW"/>
        </w:rPr>
        <w:t>如果乙方未能按合同规定履行其义务，甲方有权</w:t>
      </w:r>
      <w:r>
        <w:rPr>
          <w:rStyle w:val="37"/>
          <w:rFonts w:asciiTheme="minorEastAsia" w:hAnsiTheme="minorEastAsia" w:eastAsiaTheme="minorEastAsia" w:cstheme="minorEastAsia"/>
          <w:color w:val="auto"/>
          <w:szCs w:val="22"/>
          <w:highlight w:val="none"/>
          <w:u w:color="050606"/>
        </w:rPr>
        <w:t>直接</w:t>
      </w:r>
      <w:r>
        <w:rPr>
          <w:rStyle w:val="37"/>
          <w:rFonts w:asciiTheme="minorEastAsia" w:hAnsiTheme="minorEastAsia" w:eastAsiaTheme="minorEastAsia" w:cstheme="minorEastAsia"/>
          <w:color w:val="auto"/>
          <w:szCs w:val="22"/>
          <w:highlight w:val="none"/>
          <w:u w:color="050606"/>
          <w:lang w:val="zh-TW" w:eastAsia="zh-TW"/>
        </w:rPr>
        <w:t>从履约保证金取得补偿。</w:t>
      </w:r>
    </w:p>
    <w:p>
      <w:pPr>
        <w:pStyle w:val="36"/>
        <w:spacing w:line="360" w:lineRule="exact"/>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二</w:t>
      </w:r>
      <w:r>
        <w:rPr>
          <w:rStyle w:val="37"/>
          <w:rFonts w:asciiTheme="minorEastAsia" w:hAnsiTheme="minorEastAsia" w:eastAsiaTheme="minorEastAsia" w:cstheme="minorEastAsia"/>
          <w:b/>
          <w:bCs/>
          <w:color w:val="auto"/>
          <w:highlight w:val="none"/>
          <w:lang w:val="zh-TW" w:eastAsia="zh-TW"/>
        </w:rPr>
        <w:t>条 质量保修</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12.1 本合同产品质保期</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rPr>
        <w:t>年，</w:t>
      </w:r>
      <w:r>
        <w:rPr>
          <w:rStyle w:val="37"/>
          <w:rFonts w:asciiTheme="minorEastAsia" w:hAnsiTheme="minorEastAsia" w:eastAsiaTheme="minorEastAsia" w:cstheme="minorEastAsia"/>
          <w:color w:val="auto"/>
          <w:highlight w:val="none"/>
        </w:rPr>
        <w:t>自产品经甲方验收合格并交付甲方正式使用之日起计算</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12.2甲方正常使用过程中因产品瑕疵（如漏电、起火等）致使人身损害、财物损失的，乙方负全部损害赔偿责任，因此给甲方造成损失的，还应赔偿甲方全部损失。</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3</w:t>
      </w:r>
      <w:r>
        <w:rPr>
          <w:rStyle w:val="37"/>
          <w:rFonts w:asciiTheme="minorEastAsia" w:hAnsiTheme="minorEastAsia" w:eastAsiaTheme="minorEastAsia" w:cstheme="minorEastAsia"/>
          <w:color w:val="auto"/>
          <w:highlight w:val="none"/>
          <w:lang w:val="zh-TW" w:eastAsia="zh-TW"/>
        </w:rPr>
        <w:t xml:space="preserve"> 为确保甲方项目能够正常运营，乙方承诺售后服务应提供</w:t>
      </w:r>
      <w:r>
        <w:rPr>
          <w:rStyle w:val="37"/>
          <w:rFonts w:asciiTheme="minorEastAsia" w:hAnsiTheme="minorEastAsia" w:eastAsiaTheme="minorEastAsia" w:cstheme="minorEastAsia"/>
          <w:color w:val="auto"/>
          <w:highlight w:val="none"/>
        </w:rPr>
        <w:t>7*</w:t>
      </w:r>
      <w:r>
        <w:rPr>
          <w:rStyle w:val="37"/>
          <w:rFonts w:asciiTheme="minorEastAsia" w:hAnsiTheme="minorEastAsia" w:eastAsiaTheme="minorEastAsia" w:cstheme="minorEastAsia"/>
          <w:color w:val="auto"/>
          <w:highlight w:val="none"/>
          <w:lang w:val="zh-TW" w:eastAsia="zh-TW"/>
        </w:rPr>
        <w:t>24小时服务热线，以便甲方能于任何时间直接联络到乙方售后服务技术人员，即时处理各类突发事故。乙方在接到甲方紧急维修通知后，，</w:t>
      </w:r>
      <w:r>
        <w:rPr>
          <w:rStyle w:val="37"/>
          <w:rFonts w:hint="eastAsia" w:asciiTheme="minorEastAsia" w:hAnsiTheme="minorEastAsia" w:eastAsiaTheme="minorEastAsia" w:cstheme="minorEastAsia"/>
          <w:color w:val="auto"/>
          <w:highlight w:val="none"/>
          <w:lang w:val="en-US" w:eastAsia="zh-CN"/>
        </w:rPr>
        <w:t>1小时响应，8</w:t>
      </w:r>
      <w:r>
        <w:rPr>
          <w:rStyle w:val="37"/>
          <w:rFonts w:asciiTheme="minorEastAsia" w:hAnsiTheme="minorEastAsia" w:eastAsiaTheme="minorEastAsia" w:cstheme="minorEastAsia"/>
          <w:color w:val="auto"/>
          <w:highlight w:val="none"/>
          <w:lang w:val="zh-TW" w:eastAsia="zh-TW"/>
        </w:rPr>
        <w:t>小时内到达现场并</w:t>
      </w:r>
      <w:r>
        <w:rPr>
          <w:rStyle w:val="37"/>
          <w:rFonts w:asciiTheme="minorEastAsia" w:hAnsiTheme="minorEastAsia" w:eastAsiaTheme="minorEastAsia" w:cstheme="minorEastAsia"/>
          <w:color w:val="auto"/>
          <w:highlight w:val="none"/>
          <w:lang w:val="zh-TW"/>
        </w:rPr>
        <w:t>维修或更换</w:t>
      </w:r>
      <w:r>
        <w:rPr>
          <w:rStyle w:val="37"/>
          <w:rFonts w:asciiTheme="minorEastAsia" w:hAnsiTheme="minorEastAsia" w:eastAsiaTheme="minorEastAsia" w:cstheme="minorEastAsia"/>
          <w:color w:val="auto"/>
          <w:highlight w:val="none"/>
          <w:lang w:val="zh-TW" w:eastAsia="zh-TW"/>
        </w:rPr>
        <w:t>。常规故障须在到达现场后</w:t>
      </w:r>
      <w:r>
        <w:rPr>
          <w:rStyle w:val="37"/>
          <w:rFonts w:hint="eastAsia" w:asciiTheme="minorEastAsia" w:hAnsiTheme="minorEastAsia" w:eastAsiaTheme="minorEastAsia" w:cstheme="minorEastAsia"/>
          <w:color w:val="auto"/>
          <w:highlight w:val="none"/>
          <w:lang w:val="en-US" w:eastAsia="zh-CN"/>
        </w:rPr>
        <w:t>24</w:t>
      </w:r>
      <w:r>
        <w:rPr>
          <w:rStyle w:val="37"/>
          <w:rFonts w:asciiTheme="minorEastAsia" w:hAnsiTheme="minorEastAsia" w:eastAsiaTheme="minorEastAsia" w:cstheme="minorEastAsia"/>
          <w:color w:val="auto"/>
          <w:highlight w:val="none"/>
          <w:lang w:val="zh-TW" w:eastAsia="zh-TW"/>
        </w:rPr>
        <w:t>小时内解决；非常规故障须在1～2天内解决。</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经二次维修仍不能正常运行的，乙方应免费无条件调换同品牌、同型号的新</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。若乙方未在约定时间内到场并进行维修，甲方有权安排第三方进行维修，所发生的费用</w:t>
      </w:r>
      <w:r>
        <w:rPr>
          <w:rStyle w:val="37"/>
          <w:rFonts w:asciiTheme="minorEastAsia" w:hAnsiTheme="minorEastAsia" w:eastAsiaTheme="minorEastAsia" w:cstheme="minorEastAsia"/>
          <w:color w:val="auto"/>
          <w:highlight w:val="none"/>
        </w:rPr>
        <w:t>和因此给甲方造成的损失由乙方承担，甲方有权直接</w:t>
      </w:r>
      <w:r>
        <w:rPr>
          <w:rStyle w:val="37"/>
          <w:rFonts w:asciiTheme="minorEastAsia" w:hAnsiTheme="minorEastAsia" w:eastAsiaTheme="minorEastAsia" w:cstheme="minorEastAsia"/>
          <w:color w:val="auto"/>
          <w:highlight w:val="none"/>
          <w:lang w:val="zh-TW" w:eastAsia="zh-TW"/>
        </w:rPr>
        <w:t>从乙方质保金中扣除</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不足部分，乙方应及时补足</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注：（1）常规故障为：非人为造成的</w:t>
      </w:r>
      <w:r>
        <w:rPr>
          <w:rStyle w:val="37"/>
          <w:rFonts w:asciiTheme="minorEastAsia" w:hAnsiTheme="minorEastAsia" w:eastAsiaTheme="minorEastAsia" w:cstheme="minorEastAsia"/>
          <w:color w:val="auto"/>
          <w:highlight w:val="none"/>
          <w:lang w:val="zh-TW"/>
        </w:rPr>
        <w:t>物品</w:t>
      </w:r>
      <w:r>
        <w:rPr>
          <w:rStyle w:val="37"/>
          <w:rFonts w:asciiTheme="minorEastAsia" w:hAnsiTheme="minorEastAsia" w:eastAsiaTheme="minorEastAsia" w:cstheme="minorEastAsia"/>
          <w:color w:val="auto"/>
          <w:highlight w:val="none"/>
          <w:lang w:val="zh-TW" w:eastAsia="zh-TW"/>
        </w:rPr>
        <w:t>不能正常使用。</w:t>
      </w:r>
    </w:p>
    <w:p>
      <w:pPr>
        <w:pStyle w:val="36"/>
        <w:spacing w:line="360" w:lineRule="exact"/>
        <w:ind w:right="28" w:firstLine="709"/>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（2）非常规故障为：人为误操作引起的故障或不可抗拒因素引起的故障。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 xml:space="preserve"> 在质保期内如因质量原因，乙方免费维修。超过保修期的，乙方须以</w:t>
      </w:r>
      <w:r>
        <w:rPr>
          <w:rStyle w:val="37"/>
          <w:rFonts w:asciiTheme="minorEastAsia" w:hAnsiTheme="minorEastAsia" w:eastAsiaTheme="minorEastAsia" w:cstheme="minorEastAsia"/>
          <w:color w:val="auto"/>
          <w:highlight w:val="none"/>
        </w:rPr>
        <w:t>成本价</w:t>
      </w:r>
      <w:r>
        <w:rPr>
          <w:rStyle w:val="37"/>
          <w:rFonts w:asciiTheme="minorEastAsia" w:hAnsiTheme="minorEastAsia" w:eastAsiaTheme="minorEastAsia" w:cstheme="minorEastAsia"/>
          <w:color w:val="auto"/>
          <w:highlight w:val="none"/>
          <w:lang w:val="zh-TW" w:eastAsia="zh-TW"/>
        </w:rPr>
        <w:t>为甲方提供维修维护服务，并终身为甲方提供持续完善的售后服务。</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59" w:name="_Toc18688"/>
      <w:bookmarkStart w:id="160" w:name="_Toc26894"/>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三</w:t>
      </w:r>
      <w:r>
        <w:rPr>
          <w:rStyle w:val="37"/>
          <w:rFonts w:asciiTheme="minorEastAsia" w:hAnsiTheme="minorEastAsia" w:eastAsiaTheme="minorEastAsia" w:cstheme="minorEastAsia"/>
          <w:b/>
          <w:bCs/>
          <w:color w:val="auto"/>
          <w:highlight w:val="none"/>
          <w:lang w:val="zh-TW" w:eastAsia="zh-TW"/>
        </w:rPr>
        <w:t>条 违约</w:t>
      </w:r>
      <w:r>
        <w:rPr>
          <w:rStyle w:val="37"/>
          <w:rFonts w:asciiTheme="minorEastAsia" w:hAnsiTheme="minorEastAsia" w:eastAsiaTheme="minorEastAsia" w:cstheme="minorEastAsia"/>
          <w:b/>
          <w:bCs/>
          <w:color w:val="auto"/>
          <w:highlight w:val="none"/>
          <w:u w:color="050606"/>
          <w:lang w:val="zh-TW" w:eastAsia="zh-TW"/>
        </w:rPr>
        <w:t>与索赔</w:t>
      </w:r>
      <w:bookmarkEnd w:id="159"/>
      <w:bookmarkEnd w:id="160"/>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当发生下列情况之一时，视为乙方违约：</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1、因乙方原因不能按甲方要求按时供货的；</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2、乙方不得将货物转包给他人，否则，乙方将依法承担相应责任，由此给甲方造成的损失由乙方承担，同时甲方有权解除本合同；</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3、因乙方原因导致合同无法实际履行或者乙方拒绝履行合同，甲方有权解除合同，并承担由此给甲方带来的一切损失；</w:t>
      </w:r>
    </w:p>
    <w:p>
      <w:pPr>
        <w:pStyle w:val="36"/>
        <w:spacing w:line="360" w:lineRule="exact"/>
        <w:ind w:right="28" w:firstLine="420" w:firstLineChars="200"/>
        <w:jc w:val="left"/>
        <w:rPr>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13.4</w:t>
      </w:r>
      <w:r>
        <w:rPr>
          <w:rStyle w:val="37"/>
          <w:rFonts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rPr>
        <w:t>未按</w:t>
      </w:r>
      <w:r>
        <w:rPr>
          <w:rStyle w:val="37"/>
          <w:rFonts w:asciiTheme="minorEastAsia" w:hAnsiTheme="minorEastAsia" w:eastAsiaTheme="minorEastAsia" w:cstheme="minorEastAsia"/>
          <w:color w:val="auto"/>
          <w:highlight w:val="none"/>
          <w:lang w:val="zh-TW" w:eastAsia="zh-TW"/>
        </w:rPr>
        <w:t>合同约定</w:t>
      </w:r>
      <w:r>
        <w:rPr>
          <w:rStyle w:val="37"/>
          <w:rFonts w:asciiTheme="minorEastAsia" w:hAnsiTheme="minorEastAsia" w:eastAsiaTheme="minorEastAsia" w:cstheme="minorEastAsia"/>
          <w:color w:val="auto"/>
          <w:highlight w:val="none"/>
          <w:lang w:val="zh-TW"/>
        </w:rPr>
        <w:t>将</w:t>
      </w:r>
      <w:r>
        <w:rPr>
          <w:rStyle w:val="37"/>
          <w:rFonts w:asciiTheme="minorEastAsia" w:hAnsiTheme="minorEastAsia" w:eastAsiaTheme="minorEastAsia" w:cstheme="minorEastAsia"/>
          <w:color w:val="auto"/>
          <w:highlight w:val="none"/>
          <w:lang w:val="zh-TW" w:eastAsia="zh-TW"/>
        </w:rPr>
        <w:t>货物运送至项目地，每延迟交货一天，</w:t>
      </w:r>
      <w:r>
        <w:rPr>
          <w:rStyle w:val="37"/>
          <w:rFonts w:asciiTheme="minorEastAsia" w:hAnsiTheme="minorEastAsia" w:eastAsiaTheme="minorEastAsia" w:cstheme="minorEastAsia"/>
          <w:color w:val="auto"/>
          <w:highlight w:val="none"/>
        </w:rPr>
        <w:t>乙方应按</w:t>
      </w:r>
      <w:r>
        <w:rPr>
          <w:rStyle w:val="37"/>
          <w:rFonts w:asciiTheme="minorEastAsia" w:hAnsiTheme="minorEastAsia" w:eastAsiaTheme="minorEastAsia" w:cstheme="minorEastAsia"/>
          <w:color w:val="auto"/>
          <w:highlight w:val="none"/>
          <w:lang w:val="zh-TW" w:eastAsia="zh-TW"/>
        </w:rPr>
        <w:t>总货款的</w:t>
      </w:r>
      <w:r>
        <w:rPr>
          <w:rStyle w:val="37"/>
          <w:rFonts w:asciiTheme="minorEastAsia" w:hAnsiTheme="minorEastAsia" w:eastAsiaTheme="minorEastAsia" w:cstheme="minorEastAsia"/>
          <w:color w:val="auto"/>
          <w:highlight w:val="none"/>
        </w:rPr>
        <w:t>2%向甲方支付</w:t>
      </w:r>
      <w:r>
        <w:rPr>
          <w:rStyle w:val="37"/>
          <w:rFonts w:asciiTheme="minorEastAsia" w:hAnsiTheme="minorEastAsia" w:eastAsiaTheme="minorEastAsia" w:cstheme="minorEastAsia"/>
          <w:color w:val="auto"/>
          <w:highlight w:val="none"/>
          <w:lang w:val="zh-TW" w:eastAsia="zh-TW"/>
        </w:rPr>
        <w:t>违约金</w:t>
      </w:r>
      <w:r>
        <w:rPr>
          <w:rStyle w:val="37"/>
          <w:rFonts w:asciiTheme="minorEastAsia" w:hAnsiTheme="minorEastAsia" w:eastAsiaTheme="minorEastAsia" w:cstheme="minorEastAsia"/>
          <w:color w:val="auto"/>
          <w:highlight w:val="none"/>
          <w:lang w:val="zh-TW"/>
        </w:rPr>
        <w:t>,</w:t>
      </w:r>
      <w:r>
        <w:rPr>
          <w:rFonts w:asciiTheme="minorEastAsia" w:hAnsiTheme="minorEastAsia" w:eastAsiaTheme="minorEastAsia" w:cstheme="minorEastAsia"/>
          <w:color w:val="auto"/>
          <w:highlight w:val="none"/>
        </w:rPr>
        <w:t>延迟超过</w:t>
      </w:r>
      <w:r>
        <w:rPr>
          <w:rFonts w:asciiTheme="minorEastAsia" w:hAnsiTheme="minorEastAsia" w:eastAsiaTheme="minorEastAsia" w:cstheme="minorEastAsia"/>
          <w:color w:val="auto"/>
          <w:highlight w:val="none"/>
          <w:u w:val="single"/>
        </w:rPr>
        <w:t>【】</w:t>
      </w:r>
      <w:r>
        <w:rPr>
          <w:rFonts w:asciiTheme="minorEastAsia" w:hAnsiTheme="minorEastAsia" w:eastAsiaTheme="minorEastAsia" w:cstheme="minorEastAsia"/>
          <w:color w:val="auto"/>
          <w:highlight w:val="none"/>
        </w:rPr>
        <w:t>天的，乙方应向甲方支付合同总价款30%的违约金，且甲方有权解除本合同，该等解除并不免除乙方违约责任的承担，因此给甲方造成损失的，还应赔偿甲方全部损失。</w:t>
      </w:r>
    </w:p>
    <w:p>
      <w:pPr>
        <w:pStyle w:val="36"/>
        <w:spacing w:line="360" w:lineRule="exact"/>
        <w:ind w:left="850" w:hanging="424"/>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13.5</w:t>
      </w:r>
      <w:r>
        <w:rPr>
          <w:rStyle w:val="37"/>
          <w:rFonts w:asciiTheme="minorEastAsia" w:hAnsiTheme="minorEastAsia" w:eastAsiaTheme="minorEastAsia" w:cstheme="minorEastAsia"/>
          <w:color w:val="auto"/>
          <w:highlight w:val="none"/>
          <w:lang w:val="zh-TW" w:eastAsia="zh-TW"/>
        </w:rPr>
        <w:t>、若乙方提供的产品不合格，甲方有</w:t>
      </w:r>
      <w:r>
        <w:rPr>
          <w:rStyle w:val="37"/>
          <w:rFonts w:asciiTheme="minorEastAsia" w:hAnsiTheme="minorEastAsia" w:eastAsiaTheme="minorEastAsia" w:cstheme="minorEastAsia"/>
          <w:color w:val="auto"/>
          <w:highlight w:val="none"/>
          <w:lang w:val="zh-TW"/>
        </w:rPr>
        <w:t>权</w:t>
      </w:r>
      <w:r>
        <w:rPr>
          <w:rStyle w:val="37"/>
          <w:rFonts w:asciiTheme="minorEastAsia" w:hAnsiTheme="minorEastAsia" w:eastAsiaTheme="minorEastAsia" w:cstheme="minorEastAsia"/>
          <w:color w:val="auto"/>
          <w:highlight w:val="none"/>
          <w:lang w:val="zh-TW" w:eastAsia="zh-TW"/>
        </w:rPr>
        <w:t>退换所有产品</w:t>
      </w:r>
      <w:r>
        <w:rPr>
          <w:rStyle w:val="37"/>
          <w:rFonts w:asciiTheme="minorEastAsia" w:hAnsiTheme="minorEastAsia" w:eastAsiaTheme="minorEastAsia" w:cstheme="minorEastAsia"/>
          <w:color w:val="auto"/>
          <w:highlight w:val="none"/>
          <w:lang w:val="zh-TW"/>
        </w:rPr>
        <w:t>。选择退货的，合同解除，乙方退还甲方支付的所有货款，并承担合同总价款二倍的违约金</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lang w:val="zh-TW"/>
        </w:rPr>
        <w:t>因产品质量问题给甲方或第三人造成人身或财产损失的，乙方承担全部赔偿责任。</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61" w:name="_Toc30362"/>
      <w:bookmarkStart w:id="162" w:name="_Toc22043"/>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四</w:t>
      </w:r>
      <w:r>
        <w:rPr>
          <w:rStyle w:val="37"/>
          <w:rFonts w:asciiTheme="minorEastAsia" w:hAnsiTheme="minorEastAsia" w:eastAsiaTheme="minorEastAsia" w:cstheme="minorEastAsia"/>
          <w:b/>
          <w:bCs/>
          <w:color w:val="auto"/>
          <w:highlight w:val="none"/>
          <w:lang w:val="zh-TW" w:eastAsia="zh-TW"/>
        </w:rPr>
        <w:t>条 争议的解决</w:t>
      </w:r>
      <w:bookmarkEnd w:id="161"/>
      <w:bookmarkEnd w:id="162"/>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4</w:t>
      </w:r>
      <w:r>
        <w:rPr>
          <w:rStyle w:val="37"/>
          <w:rFonts w:asciiTheme="minorEastAsia" w:hAnsiTheme="minorEastAsia" w:eastAsiaTheme="minorEastAsia" w:cstheme="minorEastAsia"/>
          <w:color w:val="auto"/>
          <w:highlight w:val="none"/>
          <w:u w:color="050606"/>
          <w:lang w:val="zh-TW" w:eastAsia="zh-TW"/>
        </w:rPr>
        <w:t>.1本合同的订立、效力、履行、解释、终止、解除和争议解决均适用中华人民共和国法律法规。</w:t>
      </w:r>
    </w:p>
    <w:p>
      <w:pPr>
        <w:pStyle w:val="36"/>
        <w:spacing w:line="360" w:lineRule="exact"/>
        <w:ind w:right="28" w:firstLine="420"/>
        <w:rPr>
          <w:rStyle w:val="21"/>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.2甲方、乙方在履行合同时发生争议，双方应友好协商，协商不成的双方均应向</w:t>
      </w:r>
      <w:r>
        <w:rPr>
          <w:rStyle w:val="37"/>
          <w:rFonts w:asciiTheme="minorEastAsia" w:hAnsiTheme="minorEastAsia" w:eastAsiaTheme="minorEastAsia" w:cstheme="minorEastAsia"/>
          <w:color w:val="auto"/>
          <w:highlight w:val="none"/>
          <w:u w:val="single"/>
          <w:lang w:val="zh-TW"/>
        </w:rPr>
        <w:t>甲方所在地</w:t>
      </w:r>
      <w:r>
        <w:rPr>
          <w:rStyle w:val="37"/>
          <w:rFonts w:asciiTheme="minorEastAsia" w:hAnsiTheme="minorEastAsia" w:eastAsiaTheme="minorEastAsia" w:cstheme="minorEastAsia"/>
          <w:color w:val="auto"/>
          <w:highlight w:val="none"/>
          <w:lang w:val="zh-TW" w:eastAsia="zh-TW"/>
        </w:rPr>
        <w:t>人民法院起诉。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63" w:name="_Toc9543"/>
      <w:bookmarkStart w:id="164" w:name="_Toc9680"/>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五</w:t>
      </w:r>
      <w:r>
        <w:rPr>
          <w:rStyle w:val="37"/>
          <w:rFonts w:asciiTheme="minorEastAsia" w:hAnsiTheme="minorEastAsia" w:eastAsiaTheme="minorEastAsia" w:cstheme="minorEastAsia"/>
          <w:b/>
          <w:bCs/>
          <w:color w:val="auto"/>
          <w:highlight w:val="none"/>
          <w:lang w:val="zh-TW" w:eastAsia="zh-TW"/>
        </w:rPr>
        <w:t>条 合同生效与终止</w:t>
      </w:r>
      <w:bookmarkEnd w:id="163"/>
      <w:bookmarkEnd w:id="164"/>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甲方、乙方在本合同书中约定合同生效方式：双方</w:t>
      </w:r>
      <w:r>
        <w:rPr>
          <w:rStyle w:val="37"/>
          <w:rFonts w:asciiTheme="minorEastAsia" w:hAnsiTheme="minorEastAsia" w:eastAsiaTheme="minorEastAsia" w:cstheme="minorEastAsia"/>
          <w:color w:val="auto"/>
          <w:highlight w:val="none"/>
          <w:lang w:val="zh-TW"/>
        </w:rPr>
        <w:t>签字</w:t>
      </w:r>
      <w:r>
        <w:rPr>
          <w:rStyle w:val="37"/>
          <w:rFonts w:asciiTheme="minorEastAsia" w:hAnsiTheme="minorEastAsia" w:eastAsiaTheme="minorEastAsia" w:cstheme="minorEastAsia"/>
          <w:color w:val="auto"/>
          <w:highlight w:val="none"/>
          <w:lang w:val="zh-TW" w:eastAsia="zh-TW"/>
        </w:rPr>
        <w:t>盖章后生效，合同附件与本合同具有同等法律效力。</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65" w:name="_Toc31567"/>
      <w:bookmarkStart w:id="166" w:name="_Toc20216"/>
      <w:r>
        <w:rPr>
          <w:rStyle w:val="37"/>
          <w:rFonts w:asciiTheme="minorEastAsia" w:hAnsiTheme="minorEastAsia" w:eastAsiaTheme="minorEastAsia" w:cstheme="minorEastAsia"/>
          <w:b/>
          <w:bCs/>
          <w:color w:val="auto"/>
          <w:highlight w:val="none"/>
          <w:u w:color="050606"/>
          <w:lang w:val="zh-TW" w:eastAsia="zh-TW"/>
        </w:rPr>
        <w:t>第十</w:t>
      </w:r>
      <w:r>
        <w:rPr>
          <w:rStyle w:val="37"/>
          <w:rFonts w:asciiTheme="minorEastAsia" w:hAnsiTheme="minorEastAsia" w:eastAsiaTheme="minorEastAsia" w:cstheme="minorEastAsia"/>
          <w:b/>
          <w:bCs/>
          <w:color w:val="auto"/>
          <w:highlight w:val="none"/>
          <w:u w:color="050606"/>
          <w:lang w:val="zh-TW"/>
        </w:rPr>
        <w:t>六</w:t>
      </w:r>
      <w:r>
        <w:rPr>
          <w:rStyle w:val="37"/>
          <w:rFonts w:asciiTheme="minorEastAsia" w:hAnsiTheme="minorEastAsia" w:eastAsiaTheme="minorEastAsia" w:cstheme="minorEastAsia"/>
          <w:b/>
          <w:bCs/>
          <w:color w:val="auto"/>
          <w:highlight w:val="none"/>
          <w:u w:color="050606"/>
          <w:lang w:val="zh-TW" w:eastAsia="zh-TW"/>
        </w:rPr>
        <w:t>条 不可抗力</w:t>
      </w:r>
      <w:bookmarkEnd w:id="165"/>
      <w:bookmarkEnd w:id="166"/>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.2如发生以上不可抗力事件，视该不可抗力事件对本合同履行的影响程度，由双方协商决定本合同延迟履行、中止履行或者终止履行。</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67" w:name="_Toc23611"/>
      <w:bookmarkStart w:id="168" w:name="_Toc20836"/>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七</w:t>
      </w:r>
      <w:r>
        <w:rPr>
          <w:rStyle w:val="37"/>
          <w:rFonts w:asciiTheme="minorEastAsia" w:hAnsiTheme="minorEastAsia" w:eastAsiaTheme="minorEastAsia" w:cstheme="minorEastAsia"/>
          <w:b/>
          <w:bCs/>
          <w:color w:val="auto"/>
          <w:highlight w:val="none"/>
          <w:lang w:val="zh-TW" w:eastAsia="zh-TW"/>
        </w:rPr>
        <w:t>条 其他内容</w:t>
      </w:r>
      <w:bookmarkEnd w:id="167"/>
      <w:bookmarkEnd w:id="168"/>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.1 组成合同的文件：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（1）本合同书</w:t>
      </w:r>
      <w:r>
        <w:rPr>
          <w:rStyle w:val="37"/>
          <w:rFonts w:asciiTheme="minorEastAsia" w:hAnsiTheme="minorEastAsia" w:eastAsiaTheme="minorEastAsia" w:cstheme="minorEastAsia"/>
          <w:color w:val="auto"/>
          <w:highlight w:val="none"/>
          <w:lang w:val="zh-TW"/>
        </w:rPr>
        <w:t>及附件</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（2）招标文件；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（3）投标文件</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.2 本合同未尽事宜，甲乙双方可友好协商并形成补充文件，经双方签署的补充文件与本合同具有同等法律效力。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.3 本合同</w:t>
      </w:r>
      <w:r>
        <w:rPr>
          <w:rStyle w:val="37"/>
          <w:rFonts w:asciiTheme="minorEastAsia" w:hAnsiTheme="minorEastAsia" w:eastAsiaTheme="minorEastAsia" w:cstheme="minorEastAsia"/>
          <w:color w:val="auto"/>
          <w:highlight w:val="none"/>
        </w:rPr>
        <w:t>壹</w:t>
      </w:r>
      <w:r>
        <w:rPr>
          <w:rStyle w:val="37"/>
          <w:rFonts w:asciiTheme="minorEastAsia" w:hAnsiTheme="minorEastAsia" w:eastAsiaTheme="minorEastAsia" w:cstheme="minorEastAsia"/>
          <w:color w:val="auto"/>
          <w:highlight w:val="none"/>
          <w:lang w:val="zh-TW" w:eastAsia="zh-TW"/>
        </w:rPr>
        <w:t>式</w:t>
      </w:r>
      <w:r>
        <w:rPr>
          <w:rStyle w:val="37"/>
          <w:rFonts w:asciiTheme="minorEastAsia" w:hAnsiTheme="minorEastAsia" w:eastAsiaTheme="minorEastAsia" w:cstheme="minorEastAsia"/>
          <w:color w:val="auto"/>
          <w:highlight w:val="none"/>
          <w:u w:val="single"/>
          <w:lang w:val="zh-TW"/>
        </w:rPr>
        <w:t>肆</w:t>
      </w:r>
      <w:r>
        <w:rPr>
          <w:rStyle w:val="37"/>
          <w:rFonts w:asciiTheme="minorEastAsia" w:hAnsiTheme="minorEastAsia" w:eastAsiaTheme="minorEastAsia" w:cstheme="minorEastAsia"/>
          <w:color w:val="auto"/>
          <w:highlight w:val="none"/>
          <w:lang w:val="zh-TW" w:eastAsia="zh-TW"/>
        </w:rPr>
        <w:t>份，甲方执</w:t>
      </w:r>
      <w:r>
        <w:rPr>
          <w:rStyle w:val="37"/>
          <w:rFonts w:asciiTheme="minorEastAsia" w:hAnsiTheme="minorEastAsia" w:eastAsiaTheme="minorEastAsia" w:cstheme="minorEastAsia"/>
          <w:color w:val="auto"/>
          <w:highlight w:val="none"/>
          <w:u w:val="single"/>
          <w:lang w:val="zh-TW"/>
        </w:rPr>
        <w:t>叁</w:t>
      </w:r>
      <w:r>
        <w:rPr>
          <w:rStyle w:val="37"/>
          <w:rFonts w:asciiTheme="minorEastAsia" w:hAnsiTheme="minorEastAsia" w:eastAsiaTheme="minorEastAsia" w:cstheme="minorEastAsia"/>
          <w:color w:val="auto"/>
          <w:highlight w:val="none"/>
          <w:lang w:val="zh-TW" w:eastAsia="zh-TW"/>
        </w:rPr>
        <w:t>份、乙方执</w:t>
      </w:r>
      <w:r>
        <w:rPr>
          <w:rStyle w:val="37"/>
          <w:rFonts w:asciiTheme="minorEastAsia" w:hAnsiTheme="minorEastAsia" w:eastAsiaTheme="minorEastAsia" w:cstheme="minorEastAsia"/>
          <w:color w:val="auto"/>
          <w:highlight w:val="none"/>
          <w:u w:val="single"/>
          <w:lang w:val="zh-TW"/>
        </w:rPr>
        <w:t>壹</w:t>
      </w:r>
      <w:r>
        <w:rPr>
          <w:rStyle w:val="37"/>
          <w:rFonts w:asciiTheme="minorEastAsia" w:hAnsiTheme="minorEastAsia" w:eastAsiaTheme="minorEastAsia" w:cstheme="minorEastAsia"/>
          <w:color w:val="auto"/>
          <w:highlight w:val="none"/>
          <w:lang w:val="zh-TW" w:eastAsia="zh-TW"/>
        </w:rPr>
        <w:t>份，具有同等法律效力。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rPr>
      </w:pPr>
      <w:bookmarkStart w:id="169" w:name="_Toc2973"/>
      <w:bookmarkStart w:id="170" w:name="_Toc26015"/>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八</w:t>
      </w:r>
      <w:r>
        <w:rPr>
          <w:rStyle w:val="37"/>
          <w:rFonts w:asciiTheme="minorEastAsia" w:hAnsiTheme="minorEastAsia" w:eastAsiaTheme="minorEastAsia" w:cstheme="minorEastAsia"/>
          <w:b/>
          <w:bCs/>
          <w:color w:val="auto"/>
          <w:highlight w:val="none"/>
          <w:lang w:val="zh-TW" w:eastAsia="zh-TW"/>
        </w:rPr>
        <w:t xml:space="preserve">条 </w:t>
      </w:r>
      <w:r>
        <w:rPr>
          <w:rStyle w:val="37"/>
          <w:rFonts w:asciiTheme="minorEastAsia" w:hAnsiTheme="minorEastAsia" w:eastAsiaTheme="minorEastAsia" w:cstheme="minorEastAsia"/>
          <w:b/>
          <w:bCs/>
          <w:color w:val="auto"/>
          <w:highlight w:val="none"/>
          <w:lang w:val="zh-TW"/>
        </w:rPr>
        <w:t xml:space="preserve"> 产品清单（详见附件）</w:t>
      </w:r>
      <w:bookmarkEnd w:id="169"/>
      <w:bookmarkEnd w:id="170"/>
    </w:p>
    <w:p>
      <w:pPr>
        <w:pStyle w:val="36"/>
        <w:spacing w:line="360" w:lineRule="exact"/>
        <w:ind w:right="29"/>
        <w:outlineLvl w:val="0"/>
        <w:rPr>
          <w:rStyle w:val="37"/>
          <w:rFonts w:hint="default" w:asciiTheme="minorEastAsia" w:hAnsiTheme="minorEastAsia" w:eastAsiaTheme="minorEastAsia" w:cstheme="minorEastAsia"/>
          <w:color w:val="auto"/>
          <w:highlight w:val="none"/>
          <w:lang w:val="zh-TW" w:eastAsia="zh-TW"/>
        </w:rPr>
      </w:pPr>
      <w:bookmarkStart w:id="171" w:name="_Toc1370"/>
      <w:bookmarkStart w:id="172" w:name="_Toc9973"/>
      <w:r>
        <w:rPr>
          <w:rStyle w:val="37"/>
          <w:rFonts w:asciiTheme="minorEastAsia" w:hAnsiTheme="minorEastAsia" w:eastAsiaTheme="minorEastAsia" w:cstheme="minorEastAsia"/>
          <w:color w:val="auto"/>
          <w:highlight w:val="none"/>
          <w:lang w:val="zh-TW" w:eastAsia="zh-TW"/>
        </w:rPr>
        <w:t>（以下无正文）</w:t>
      </w:r>
      <w:bookmarkEnd w:id="171"/>
      <w:bookmarkEnd w:id="172"/>
    </w:p>
    <w:p>
      <w:pPr>
        <w:pStyle w:val="36"/>
        <w:tabs>
          <w:tab w:val="left" w:pos="460"/>
        </w:tabs>
        <w:spacing w:line="360" w:lineRule="exact"/>
        <w:ind w:right="29"/>
        <w:rPr>
          <w:rFonts w:hint="default" w:asciiTheme="minorEastAsia" w:hAnsiTheme="minorEastAsia" w:eastAsiaTheme="minorEastAsia" w:cstheme="minorEastAsia"/>
          <w:color w:val="auto"/>
          <w:highlight w:val="none"/>
        </w:rPr>
      </w:pPr>
    </w:p>
    <w:p>
      <w:pPr>
        <w:tabs>
          <w:tab w:val="left" w:pos="460"/>
        </w:tabs>
        <w:spacing w:line="360" w:lineRule="exact"/>
        <w:ind w:right="29"/>
        <w:rPr>
          <w:rStyle w:val="21"/>
          <w:rFonts w:asciiTheme="minorEastAsia" w:hAnsiTheme="minorEastAsia" w:cstheme="minorEastAsia"/>
          <w:color w:val="auto"/>
          <w:sz w:val="21"/>
          <w:szCs w:val="21"/>
          <w:highlight w:val="none"/>
        </w:rPr>
      </w:pPr>
      <w:r>
        <w:rPr>
          <w:rStyle w:val="21"/>
          <w:rFonts w:hint="eastAsia" w:asciiTheme="minorEastAsia" w:hAnsiTheme="minorEastAsia" w:cstheme="minorEastAsia"/>
          <w:color w:val="auto"/>
          <w:sz w:val="21"/>
          <w:szCs w:val="21"/>
          <w:highlight w:val="none"/>
        </w:rPr>
        <w:t>甲方：（章）</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乙方：（章）</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1"/>
          <w:rFonts w:asciiTheme="minorEastAsia" w:hAnsiTheme="minorEastAsia" w:cstheme="minorEastAsia"/>
          <w:color w:val="auto"/>
          <w:sz w:val="21"/>
          <w:szCs w:val="21"/>
          <w:highlight w:val="none"/>
        </w:rPr>
      </w:pPr>
      <w:r>
        <w:rPr>
          <w:rStyle w:val="21"/>
          <w:rFonts w:hint="eastAsia" w:asciiTheme="minorEastAsia" w:hAnsiTheme="minorEastAsia" w:cstheme="minorEastAsia"/>
          <w:color w:val="auto"/>
          <w:sz w:val="21"/>
          <w:szCs w:val="21"/>
          <w:highlight w:val="none"/>
        </w:rPr>
        <w:t>法定代表人（或委托代理人）：</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法定代表人（或委托代理人）：</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1"/>
          <w:rFonts w:asciiTheme="minorEastAsia" w:hAnsiTheme="minorEastAsia" w:cstheme="minorEastAsia"/>
          <w:color w:val="auto"/>
          <w:sz w:val="21"/>
          <w:szCs w:val="21"/>
          <w:highlight w:val="none"/>
          <w:lang w:eastAsia="zh-CN"/>
        </w:rPr>
      </w:pPr>
      <w:r>
        <w:rPr>
          <w:rStyle w:val="21"/>
          <w:rFonts w:hint="eastAsia" w:asciiTheme="minorEastAsia" w:hAnsiTheme="minorEastAsia" w:cstheme="minorEastAsia"/>
          <w:color w:val="auto"/>
          <w:sz w:val="21"/>
          <w:szCs w:val="21"/>
          <w:highlight w:val="none"/>
        </w:rPr>
        <w:t>地址：</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地址</w:t>
      </w:r>
      <w:r>
        <w:rPr>
          <w:rStyle w:val="21"/>
          <w:rFonts w:hint="eastAsia" w:asciiTheme="minorEastAsia" w:hAnsiTheme="minorEastAsia" w:cstheme="minorEastAsia"/>
          <w:color w:val="auto"/>
          <w:sz w:val="21"/>
          <w:szCs w:val="21"/>
          <w:highlight w:val="none"/>
          <w:lang w:eastAsia="zh-CN"/>
        </w:rPr>
        <w:t>：</w:t>
      </w:r>
    </w:p>
    <w:p>
      <w:pPr>
        <w:spacing w:line="360" w:lineRule="exact"/>
        <w:ind w:right="29" w:firstLine="945" w:firstLineChars="450"/>
        <w:rPr>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1"/>
          <w:rFonts w:hint="eastAsia" w:asciiTheme="minorEastAsia" w:hAnsiTheme="minorEastAsia" w:cstheme="minorEastAsia"/>
          <w:color w:val="auto"/>
          <w:sz w:val="21"/>
          <w:szCs w:val="21"/>
          <w:highlight w:val="none"/>
        </w:rPr>
        <w:t>电话：</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电话：</w:t>
      </w:r>
    </w:p>
    <w:p>
      <w:pPr>
        <w:spacing w:line="360" w:lineRule="exact"/>
        <w:rPr>
          <w:rStyle w:val="21"/>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1"/>
          <w:rFonts w:hint="eastAsia" w:asciiTheme="minorEastAsia" w:hAnsiTheme="minorEastAsia" w:cstheme="minorEastAsia"/>
          <w:color w:val="auto"/>
          <w:sz w:val="21"/>
          <w:szCs w:val="21"/>
          <w:highlight w:val="none"/>
        </w:rPr>
        <w:t>开户行：</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开户行：</w:t>
      </w:r>
    </w:p>
    <w:p>
      <w:pPr>
        <w:spacing w:line="360" w:lineRule="exact"/>
        <w:rPr>
          <w:rFonts w:asciiTheme="minorEastAsia" w:hAnsiTheme="minorEastAsia" w:cstheme="minorEastAsia"/>
          <w:color w:val="auto"/>
          <w:sz w:val="21"/>
          <w:szCs w:val="21"/>
          <w:highlight w:val="none"/>
          <w:lang w:eastAsia="zh-CN"/>
        </w:rPr>
      </w:pPr>
    </w:p>
    <w:p>
      <w:pPr>
        <w:spacing w:line="360" w:lineRule="exact"/>
        <w:ind w:right="29"/>
        <w:rPr>
          <w:rFonts w:asciiTheme="minorEastAsia" w:hAnsiTheme="minorEastAsia" w:cstheme="minorEastAsia"/>
          <w:color w:val="auto"/>
          <w:sz w:val="21"/>
          <w:szCs w:val="21"/>
          <w:highlight w:val="none"/>
          <w:lang w:eastAsia="zh-CN"/>
        </w:rPr>
      </w:pPr>
      <w:r>
        <w:rPr>
          <w:rStyle w:val="21"/>
          <w:rFonts w:hint="eastAsia" w:asciiTheme="minorEastAsia" w:hAnsiTheme="minorEastAsia" w:cstheme="minorEastAsia"/>
          <w:color w:val="auto"/>
          <w:sz w:val="21"/>
          <w:szCs w:val="21"/>
          <w:highlight w:val="none"/>
        </w:rPr>
        <w:t>帐号：</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帐号：</w:t>
      </w:r>
    </w:p>
    <w:p>
      <w:pPr>
        <w:spacing w:line="360" w:lineRule="exact"/>
        <w:ind w:right="29"/>
        <w:rPr>
          <w:rStyle w:val="21"/>
          <w:rFonts w:asciiTheme="minorEastAsia" w:hAnsiTheme="minorEastAsia" w:cstheme="minorEastAsia"/>
          <w:color w:val="auto"/>
          <w:sz w:val="21"/>
          <w:szCs w:val="21"/>
          <w:highlight w:val="none"/>
          <w:lang w:val="en-US" w:eastAsia="zh-CN"/>
        </w:rPr>
      </w:pPr>
    </w:p>
    <w:p>
      <w:pPr>
        <w:spacing w:line="360" w:lineRule="exact"/>
        <w:ind w:right="29"/>
        <w:rPr>
          <w:rStyle w:val="37"/>
          <w:rFonts w:asciiTheme="minorEastAsia" w:hAnsiTheme="minorEastAsia" w:cstheme="minorEastAsia"/>
          <w:color w:val="auto"/>
          <w:sz w:val="21"/>
          <w:szCs w:val="21"/>
          <w:highlight w:val="none"/>
          <w:lang w:val="zh-TW" w:eastAsia="zh-TW"/>
        </w:rPr>
      </w:pPr>
      <w:r>
        <w:rPr>
          <w:rStyle w:val="21"/>
          <w:rFonts w:hint="eastAsia" w:asciiTheme="minorEastAsia" w:hAnsiTheme="minorEastAsia" w:cstheme="minorEastAsia"/>
          <w:color w:val="auto"/>
          <w:sz w:val="21"/>
          <w:szCs w:val="21"/>
          <w:highlight w:val="none"/>
        </w:rPr>
        <w:t>签订日期：年</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月</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日</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签订日期：</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年</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月</w:t>
      </w:r>
      <w:r>
        <w:rPr>
          <w:rStyle w:val="21"/>
          <w:rFonts w:hint="eastAsia" w:asciiTheme="minorEastAsia" w:hAnsiTheme="minorEastAsia" w:cstheme="minorEastAsia"/>
          <w:color w:val="auto"/>
          <w:sz w:val="21"/>
          <w:szCs w:val="21"/>
          <w:highlight w:val="none"/>
          <w:lang w:eastAsia="zh-CN"/>
        </w:rPr>
        <w:t xml:space="preserve">   </w:t>
      </w:r>
      <w:r>
        <w:rPr>
          <w:rStyle w:val="21"/>
          <w:rFonts w:hint="eastAsia" w:asciiTheme="minorEastAsia" w:hAnsiTheme="minorEastAsia" w:cstheme="minorEastAsia"/>
          <w:color w:val="auto"/>
          <w:sz w:val="21"/>
          <w:szCs w:val="21"/>
          <w:highlight w:val="none"/>
        </w:rPr>
        <w:t>日</w:t>
      </w:r>
    </w:p>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p>
      <w:pPr>
        <w:spacing w:line="360" w:lineRule="exact"/>
        <w:ind w:right="29" w:firstLine="800" w:firstLineChars="400"/>
        <w:rPr>
          <w:rFonts w:hint="eastAsia" w:ascii="微软雅黑" w:hAnsi="微软雅黑" w:eastAsia="微软雅黑" w:cs="微软雅黑"/>
          <w:color w:val="auto"/>
          <w:sz w:val="20"/>
          <w:szCs w:val="20"/>
          <w:highlight w:val="none"/>
          <w:lang w:eastAsia="zh-CN"/>
        </w:rPr>
      </w:pPr>
    </w:p>
    <w:bookmarkEnd w:id="139"/>
    <w:bookmarkEnd w:id="140"/>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9195253"/>
    </w:sdtPr>
    <w:sdtContent>
      <w:sdt>
        <w:sdtPr>
          <w:id w:val="1728636285"/>
        </w:sdtPr>
        <w:sdtContent>
          <w:p>
            <w:pPr>
              <w:pStyle w:val="1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39</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180" w:firstLineChars="100"/>
      <w:jc w:val="both"/>
    </w:pPr>
  </w:p>
  <w:p>
    <w:pPr>
      <w:pStyle w:val="15"/>
      <w:ind w:firstLine="180" w:firstLineChars="1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5C9D5"/>
    <w:multiLevelType w:val="singleLevel"/>
    <w:tmpl w:val="8335C9D5"/>
    <w:lvl w:ilvl="0" w:tentative="0">
      <w:start w:val="1"/>
      <w:numFmt w:val="lowerLetter"/>
      <w:lvlText w:val="%1."/>
      <w:lvlJc w:val="left"/>
      <w:pPr>
        <w:ind w:left="425" w:hanging="425"/>
      </w:pPr>
      <w:rPr>
        <w:rFonts w:hint="default"/>
      </w:rPr>
    </w:lvl>
  </w:abstractNum>
  <w:abstractNum w:abstractNumId="1">
    <w:nsid w:val="871EC523"/>
    <w:multiLevelType w:val="singleLevel"/>
    <w:tmpl w:val="871EC523"/>
    <w:lvl w:ilvl="0" w:tentative="0">
      <w:start w:val="1"/>
      <w:numFmt w:val="upperLetter"/>
      <w:lvlText w:val="%1."/>
      <w:lvlJc w:val="left"/>
      <w:pPr>
        <w:ind w:left="425" w:hanging="425"/>
      </w:pPr>
      <w:rPr>
        <w:rFonts w:hint="default"/>
      </w:rPr>
    </w:lvl>
  </w:abstractNum>
  <w:abstractNum w:abstractNumId="2">
    <w:nsid w:val="9288B902"/>
    <w:multiLevelType w:val="multilevel"/>
    <w:tmpl w:val="9288B902"/>
    <w:lvl w:ilvl="0" w:tentative="0">
      <w:start w:val="1"/>
      <w:numFmt w:val="decimal"/>
      <w:lvlText w:val="%1."/>
      <w:lvlJc w:val="left"/>
      <w:pPr>
        <w:ind w:left="115" w:hanging="211"/>
        <w:jc w:val="left"/>
      </w:pPr>
      <w:rPr>
        <w:rFonts w:hint="default" w:ascii="宋体" w:hAnsi="宋体" w:eastAsia="宋体" w:cs="宋体"/>
        <w:w w:val="100"/>
        <w:sz w:val="19"/>
        <w:szCs w:val="19"/>
        <w:lang w:val="zh-CN" w:eastAsia="zh-CN" w:bidi="zh-CN"/>
      </w:rPr>
    </w:lvl>
    <w:lvl w:ilvl="1" w:tentative="0">
      <w:start w:val="0"/>
      <w:numFmt w:val="bullet"/>
      <w:lvlText w:val="•"/>
      <w:lvlJc w:val="left"/>
      <w:pPr>
        <w:ind w:left="616" w:hanging="211"/>
      </w:pPr>
      <w:rPr>
        <w:rFonts w:hint="default"/>
        <w:lang w:val="zh-CN" w:eastAsia="zh-CN" w:bidi="zh-CN"/>
      </w:rPr>
    </w:lvl>
    <w:lvl w:ilvl="2" w:tentative="0">
      <w:start w:val="0"/>
      <w:numFmt w:val="bullet"/>
      <w:lvlText w:val="•"/>
      <w:lvlJc w:val="left"/>
      <w:pPr>
        <w:ind w:left="1112" w:hanging="211"/>
      </w:pPr>
      <w:rPr>
        <w:rFonts w:hint="default"/>
        <w:lang w:val="zh-CN" w:eastAsia="zh-CN" w:bidi="zh-CN"/>
      </w:rPr>
    </w:lvl>
    <w:lvl w:ilvl="3" w:tentative="0">
      <w:start w:val="0"/>
      <w:numFmt w:val="bullet"/>
      <w:lvlText w:val="•"/>
      <w:lvlJc w:val="left"/>
      <w:pPr>
        <w:ind w:left="1608" w:hanging="211"/>
      </w:pPr>
      <w:rPr>
        <w:rFonts w:hint="default"/>
        <w:lang w:val="zh-CN" w:eastAsia="zh-CN" w:bidi="zh-CN"/>
      </w:rPr>
    </w:lvl>
    <w:lvl w:ilvl="4" w:tentative="0">
      <w:start w:val="0"/>
      <w:numFmt w:val="bullet"/>
      <w:lvlText w:val="•"/>
      <w:lvlJc w:val="left"/>
      <w:pPr>
        <w:ind w:left="2104" w:hanging="211"/>
      </w:pPr>
      <w:rPr>
        <w:rFonts w:hint="default"/>
        <w:lang w:val="zh-CN" w:eastAsia="zh-CN" w:bidi="zh-CN"/>
      </w:rPr>
    </w:lvl>
    <w:lvl w:ilvl="5" w:tentative="0">
      <w:start w:val="0"/>
      <w:numFmt w:val="bullet"/>
      <w:lvlText w:val="•"/>
      <w:lvlJc w:val="left"/>
      <w:pPr>
        <w:ind w:left="2600" w:hanging="211"/>
      </w:pPr>
      <w:rPr>
        <w:rFonts w:hint="default"/>
        <w:lang w:val="zh-CN" w:eastAsia="zh-CN" w:bidi="zh-CN"/>
      </w:rPr>
    </w:lvl>
    <w:lvl w:ilvl="6" w:tentative="0">
      <w:start w:val="0"/>
      <w:numFmt w:val="bullet"/>
      <w:lvlText w:val="•"/>
      <w:lvlJc w:val="left"/>
      <w:pPr>
        <w:ind w:left="3096" w:hanging="211"/>
      </w:pPr>
      <w:rPr>
        <w:rFonts w:hint="default"/>
        <w:lang w:val="zh-CN" w:eastAsia="zh-CN" w:bidi="zh-CN"/>
      </w:rPr>
    </w:lvl>
    <w:lvl w:ilvl="7" w:tentative="0">
      <w:start w:val="0"/>
      <w:numFmt w:val="bullet"/>
      <w:lvlText w:val="•"/>
      <w:lvlJc w:val="left"/>
      <w:pPr>
        <w:ind w:left="3592" w:hanging="211"/>
      </w:pPr>
      <w:rPr>
        <w:rFonts w:hint="default"/>
        <w:lang w:val="zh-CN" w:eastAsia="zh-CN" w:bidi="zh-CN"/>
      </w:rPr>
    </w:lvl>
    <w:lvl w:ilvl="8" w:tentative="0">
      <w:start w:val="0"/>
      <w:numFmt w:val="bullet"/>
      <w:lvlText w:val="•"/>
      <w:lvlJc w:val="left"/>
      <w:pPr>
        <w:ind w:left="4088" w:hanging="211"/>
      </w:pPr>
      <w:rPr>
        <w:rFonts w:hint="default"/>
        <w:lang w:val="zh-CN" w:eastAsia="zh-CN" w:bidi="zh-CN"/>
      </w:rPr>
    </w:lvl>
  </w:abstractNum>
  <w:abstractNum w:abstractNumId="3">
    <w:nsid w:val="A8A550F5"/>
    <w:multiLevelType w:val="multilevel"/>
    <w:tmpl w:val="A8A550F5"/>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C42AC827"/>
    <w:multiLevelType w:val="singleLevel"/>
    <w:tmpl w:val="C42AC827"/>
    <w:lvl w:ilvl="0" w:tentative="0">
      <w:start w:val="1"/>
      <w:numFmt w:val="upperLetter"/>
      <w:lvlText w:val="%1."/>
      <w:lvlJc w:val="left"/>
      <w:pPr>
        <w:ind w:left="425" w:hanging="425"/>
      </w:pPr>
      <w:rPr>
        <w:rFonts w:hint="default"/>
      </w:rPr>
    </w:lvl>
  </w:abstractNum>
  <w:abstractNum w:abstractNumId="5">
    <w:nsid w:val="DBB67703"/>
    <w:multiLevelType w:val="singleLevel"/>
    <w:tmpl w:val="DBB67703"/>
    <w:lvl w:ilvl="0" w:tentative="0">
      <w:start w:val="1"/>
      <w:numFmt w:val="upperLetter"/>
      <w:lvlText w:val="%1."/>
      <w:lvlJc w:val="left"/>
      <w:pPr>
        <w:tabs>
          <w:tab w:val="left" w:pos="312"/>
        </w:tabs>
      </w:pPr>
    </w:lvl>
  </w:abstractNum>
  <w:abstractNum w:abstractNumId="6">
    <w:nsid w:val="EB0E53BA"/>
    <w:multiLevelType w:val="singleLevel"/>
    <w:tmpl w:val="EB0E53BA"/>
    <w:lvl w:ilvl="0" w:tentative="0">
      <w:start w:val="1"/>
      <w:numFmt w:val="lowerLetter"/>
      <w:lvlText w:val="%1."/>
      <w:lvlJc w:val="left"/>
      <w:pPr>
        <w:ind w:left="845" w:hanging="425"/>
      </w:pPr>
      <w:rPr>
        <w:rFonts w:hint="default"/>
      </w:rPr>
    </w:lvl>
  </w:abstractNum>
  <w:abstractNum w:abstractNumId="7">
    <w:nsid w:val="F92980C5"/>
    <w:multiLevelType w:val="singleLevel"/>
    <w:tmpl w:val="F92980C5"/>
    <w:lvl w:ilvl="0" w:tentative="0">
      <w:start w:val="1"/>
      <w:numFmt w:val="lowerLetter"/>
      <w:lvlText w:val="%1."/>
      <w:lvlJc w:val="left"/>
      <w:pPr>
        <w:ind w:left="425" w:hanging="425"/>
      </w:pPr>
      <w:rPr>
        <w:rFonts w:hint="default"/>
      </w:rPr>
    </w:lvl>
  </w:abstractNum>
  <w:abstractNum w:abstractNumId="8">
    <w:nsid w:val="00A110A4"/>
    <w:multiLevelType w:val="multilevel"/>
    <w:tmpl w:val="00A110A4"/>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643F198"/>
    <w:multiLevelType w:val="singleLevel"/>
    <w:tmpl w:val="1643F198"/>
    <w:lvl w:ilvl="0" w:tentative="0">
      <w:start w:val="1"/>
      <w:numFmt w:val="lowerLetter"/>
      <w:lvlText w:val="%1."/>
      <w:lvlJc w:val="left"/>
      <w:pPr>
        <w:ind w:left="425" w:hanging="425"/>
      </w:pPr>
      <w:rPr>
        <w:rFonts w:hint="default"/>
      </w:rPr>
    </w:lvl>
  </w:abstractNum>
  <w:abstractNum w:abstractNumId="13">
    <w:nsid w:val="1FF91037"/>
    <w:multiLevelType w:val="singleLevel"/>
    <w:tmpl w:val="1FF91037"/>
    <w:lvl w:ilvl="0" w:tentative="0">
      <w:start w:val="1"/>
      <w:numFmt w:val="lowerLetter"/>
      <w:lvlText w:val="%1."/>
      <w:lvlJc w:val="left"/>
      <w:pPr>
        <w:ind w:left="425" w:hanging="425"/>
      </w:pPr>
      <w:rPr>
        <w:rFonts w:hint="default"/>
      </w:rPr>
    </w:lvl>
  </w:abstractNum>
  <w:abstractNum w:abstractNumId="14">
    <w:nsid w:val="2E868E3E"/>
    <w:multiLevelType w:val="singleLevel"/>
    <w:tmpl w:val="2E868E3E"/>
    <w:lvl w:ilvl="0" w:tentative="0">
      <w:start w:val="1"/>
      <w:numFmt w:val="lowerLetter"/>
      <w:lvlText w:val="%1."/>
      <w:lvlJc w:val="left"/>
      <w:pPr>
        <w:ind w:left="425" w:hanging="425"/>
      </w:pPr>
      <w:rPr>
        <w:rFonts w:hint="default"/>
      </w:rPr>
    </w:lvl>
  </w:abstractNum>
  <w:abstractNum w:abstractNumId="15">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5234B78"/>
    <w:multiLevelType w:val="singleLevel"/>
    <w:tmpl w:val="35234B78"/>
    <w:lvl w:ilvl="0" w:tentative="0">
      <w:start w:val="1"/>
      <w:numFmt w:val="lowerLetter"/>
      <w:lvlText w:val="%1."/>
      <w:lvlJc w:val="left"/>
      <w:pPr>
        <w:ind w:left="425" w:hanging="425"/>
      </w:pPr>
      <w:rPr>
        <w:rFonts w:hint="default"/>
      </w:rPr>
    </w:lvl>
  </w:abstractNum>
  <w:abstractNum w:abstractNumId="17">
    <w:nsid w:val="46EB7902"/>
    <w:multiLevelType w:val="multilevel"/>
    <w:tmpl w:val="46EB7902"/>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9DD7C57"/>
    <w:multiLevelType w:val="singleLevel"/>
    <w:tmpl w:val="59DD7C57"/>
    <w:lvl w:ilvl="0" w:tentative="0">
      <w:start w:val="1"/>
      <w:numFmt w:val="upperLetter"/>
      <w:lvlText w:val="%1."/>
      <w:lvlJc w:val="left"/>
      <w:pPr>
        <w:ind w:left="425" w:hanging="425"/>
      </w:pPr>
      <w:rPr>
        <w:rFonts w:hint="default"/>
      </w:rPr>
    </w:lvl>
  </w:abstractNum>
  <w:abstractNum w:abstractNumId="21">
    <w:nsid w:val="5AAAD14D"/>
    <w:multiLevelType w:val="singleLevel"/>
    <w:tmpl w:val="5AAAD14D"/>
    <w:lvl w:ilvl="0" w:tentative="0">
      <w:start w:val="10"/>
      <w:numFmt w:val="chineseCounting"/>
      <w:suff w:val="space"/>
      <w:lvlText w:val="第%1条"/>
      <w:lvlJc w:val="left"/>
      <w:rPr>
        <w:rFonts w:hint="eastAsia"/>
      </w:rPr>
    </w:lvl>
  </w:abstractNum>
  <w:abstractNum w:abstractNumId="22">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5CF257A"/>
    <w:multiLevelType w:val="singleLevel"/>
    <w:tmpl w:val="65CF257A"/>
    <w:lvl w:ilvl="0" w:tentative="0">
      <w:start w:val="1"/>
      <w:numFmt w:val="lowerLetter"/>
      <w:lvlText w:val="%1."/>
      <w:lvlJc w:val="left"/>
      <w:pPr>
        <w:ind w:left="1265" w:hanging="425"/>
      </w:pPr>
      <w:rPr>
        <w:rFonts w:hint="default"/>
      </w:rPr>
    </w:lvl>
  </w:abstractNum>
  <w:abstractNum w:abstractNumId="24">
    <w:nsid w:val="68832984"/>
    <w:multiLevelType w:val="multilevel"/>
    <w:tmpl w:val="68832984"/>
    <w:lvl w:ilvl="0" w:tentative="0">
      <w:start w:val="1"/>
      <w:numFmt w:val="decimal"/>
      <w:lvlText w:val="%1.1"/>
      <w:lvlJc w:val="left"/>
      <w:pPr>
        <w:ind w:left="567" w:hanging="425"/>
      </w:pPr>
      <w:rPr>
        <w:rFonts w:hint="eastAsia"/>
      </w:rPr>
    </w:lvl>
    <w:lvl w:ilvl="1" w:tentative="0">
      <w:start w:val="1"/>
      <w:numFmt w:val="decimal"/>
      <w:pStyle w:val="46"/>
      <w:lvlText w:val="%1.%2"/>
      <w:lvlJc w:val="left"/>
      <w:pPr>
        <w:ind w:left="567" w:hanging="567"/>
      </w:pPr>
      <w:rPr>
        <w:b w:val="0"/>
        <w:bCs w:val="0"/>
        <w:i w:val="0"/>
        <w:iCs w:val="0"/>
        <w:caps w:val="0"/>
        <w:smallCaps w:val="0"/>
        <w:strike w:val="0"/>
        <w:dstrike w:val="0"/>
        <w:vanish w:val="0"/>
        <w:spacing w:val="0"/>
        <w:position w:val="0"/>
        <w:u w:val="none"/>
        <w:vertAlign w:val="baseline"/>
      </w:rPr>
    </w:lvl>
    <w:lvl w:ilvl="2" w:tentative="0">
      <w:start w:val="1"/>
      <w:numFmt w:val="decimal"/>
      <w:lvlText w:val="%1.%2.%3"/>
      <w:lvlJc w:val="left"/>
      <w:pPr>
        <w:ind w:left="1418" w:hanging="567"/>
      </w:pPr>
      <w:rPr>
        <w:rFonts w:hint="eastAsia"/>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DDF501A"/>
    <w:multiLevelType w:val="singleLevel"/>
    <w:tmpl w:val="7DDF501A"/>
    <w:lvl w:ilvl="0" w:tentative="0">
      <w:start w:val="1"/>
      <w:numFmt w:val="upperLetter"/>
      <w:lvlText w:val="%1."/>
      <w:lvlJc w:val="left"/>
      <w:pPr>
        <w:ind w:left="425" w:hanging="425"/>
      </w:pPr>
      <w:rPr>
        <w:rFonts w:hint="default"/>
      </w:rPr>
    </w:lvl>
  </w:abstractNum>
  <w:abstractNum w:abstractNumId="27">
    <w:nsid w:val="7EC9F837"/>
    <w:multiLevelType w:val="singleLevel"/>
    <w:tmpl w:val="7EC9F837"/>
    <w:lvl w:ilvl="0" w:tentative="0">
      <w:start w:val="1"/>
      <w:numFmt w:val="upperLetter"/>
      <w:lvlText w:val="%1."/>
      <w:lvlJc w:val="left"/>
      <w:pPr>
        <w:ind w:left="845" w:hanging="425"/>
      </w:pPr>
      <w:rPr>
        <w:rFonts w:hint="default"/>
      </w:rPr>
    </w:lvl>
  </w:abstractNum>
  <w:num w:numId="1">
    <w:abstractNumId w:val="24"/>
  </w:num>
  <w:num w:numId="2">
    <w:abstractNumId w:val="26"/>
  </w:num>
  <w:num w:numId="3">
    <w:abstractNumId w:val="1"/>
  </w:num>
  <w:num w:numId="4">
    <w:abstractNumId w:val="11"/>
  </w:num>
  <w:num w:numId="5">
    <w:abstractNumId w:val="12"/>
  </w:num>
  <w:num w:numId="6">
    <w:abstractNumId w:val="9"/>
  </w:num>
  <w:num w:numId="7">
    <w:abstractNumId w:val="8"/>
  </w:num>
  <w:num w:numId="8">
    <w:abstractNumId w:val="3"/>
  </w:num>
  <w:num w:numId="9">
    <w:abstractNumId w:val="25"/>
  </w:num>
  <w:num w:numId="10">
    <w:abstractNumId w:val="18"/>
  </w:num>
  <w:num w:numId="11">
    <w:abstractNumId w:val="10"/>
  </w:num>
  <w:num w:numId="12">
    <w:abstractNumId w:val="16"/>
  </w:num>
  <w:num w:numId="13">
    <w:abstractNumId w:val="19"/>
  </w:num>
  <w:num w:numId="14">
    <w:abstractNumId w:val="13"/>
  </w:num>
  <w:num w:numId="15">
    <w:abstractNumId w:val="0"/>
  </w:num>
  <w:num w:numId="16">
    <w:abstractNumId w:val="22"/>
  </w:num>
  <w:num w:numId="17">
    <w:abstractNumId w:val="15"/>
  </w:num>
  <w:num w:numId="18">
    <w:abstractNumId w:val="7"/>
  </w:num>
  <w:num w:numId="19">
    <w:abstractNumId w:val="14"/>
  </w:num>
  <w:num w:numId="20">
    <w:abstractNumId w:val="5"/>
  </w:num>
  <w:num w:numId="21">
    <w:abstractNumId w:val="27"/>
  </w:num>
  <w:num w:numId="22">
    <w:abstractNumId w:val="23"/>
  </w:num>
  <w:num w:numId="23">
    <w:abstractNumId w:val="20"/>
  </w:num>
  <w:num w:numId="24">
    <w:abstractNumId w:val="6"/>
  </w:num>
  <w:num w:numId="25">
    <w:abstractNumId w:val="2"/>
  </w:num>
  <w:num w:numId="26">
    <w:abstractNumId w:val="4"/>
  </w:num>
  <w:num w:numId="27">
    <w:abstractNumId w:val="17"/>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12CE"/>
    <w:rsid w:val="00997716"/>
    <w:rsid w:val="009A073D"/>
    <w:rsid w:val="009A2499"/>
    <w:rsid w:val="009A6090"/>
    <w:rsid w:val="009D182A"/>
    <w:rsid w:val="009E48CF"/>
    <w:rsid w:val="00A151BA"/>
    <w:rsid w:val="00A21C58"/>
    <w:rsid w:val="00A3171F"/>
    <w:rsid w:val="00A31DEF"/>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1176EA7"/>
    <w:rsid w:val="013E2E45"/>
    <w:rsid w:val="01CA71B8"/>
    <w:rsid w:val="01E6157C"/>
    <w:rsid w:val="021A27AB"/>
    <w:rsid w:val="027A3B1B"/>
    <w:rsid w:val="03473E9C"/>
    <w:rsid w:val="03E30899"/>
    <w:rsid w:val="04133956"/>
    <w:rsid w:val="04635C6F"/>
    <w:rsid w:val="04741EF5"/>
    <w:rsid w:val="04E83B52"/>
    <w:rsid w:val="05EF15DA"/>
    <w:rsid w:val="06BD229F"/>
    <w:rsid w:val="071F1EF3"/>
    <w:rsid w:val="0802440D"/>
    <w:rsid w:val="08522BF3"/>
    <w:rsid w:val="08626C5A"/>
    <w:rsid w:val="08FD6983"/>
    <w:rsid w:val="092F2F87"/>
    <w:rsid w:val="09EE6CD5"/>
    <w:rsid w:val="0A5847B8"/>
    <w:rsid w:val="0A7E35B5"/>
    <w:rsid w:val="0A903DC3"/>
    <w:rsid w:val="0AD957A3"/>
    <w:rsid w:val="0B3C5CB4"/>
    <w:rsid w:val="0C0B0C5D"/>
    <w:rsid w:val="0C474AE5"/>
    <w:rsid w:val="0C4D19CF"/>
    <w:rsid w:val="0CAE6EEC"/>
    <w:rsid w:val="0CE201F5"/>
    <w:rsid w:val="0D722439"/>
    <w:rsid w:val="0ED42F2F"/>
    <w:rsid w:val="0F00541F"/>
    <w:rsid w:val="0F264E85"/>
    <w:rsid w:val="0F470CEA"/>
    <w:rsid w:val="0FBF2CC9"/>
    <w:rsid w:val="11427629"/>
    <w:rsid w:val="11FE781A"/>
    <w:rsid w:val="121216F1"/>
    <w:rsid w:val="122F67F7"/>
    <w:rsid w:val="13275EBD"/>
    <w:rsid w:val="13731C7F"/>
    <w:rsid w:val="144B713C"/>
    <w:rsid w:val="15214FD6"/>
    <w:rsid w:val="156C1118"/>
    <w:rsid w:val="15E9575F"/>
    <w:rsid w:val="163F6E21"/>
    <w:rsid w:val="16AE11FE"/>
    <w:rsid w:val="16B70AB9"/>
    <w:rsid w:val="16E41AD5"/>
    <w:rsid w:val="176834A0"/>
    <w:rsid w:val="17991F6C"/>
    <w:rsid w:val="1833480E"/>
    <w:rsid w:val="196D2A5C"/>
    <w:rsid w:val="19DB24E8"/>
    <w:rsid w:val="1A4C32C6"/>
    <w:rsid w:val="1B506DE6"/>
    <w:rsid w:val="1D2F74E4"/>
    <w:rsid w:val="1E9A573D"/>
    <w:rsid w:val="1EC024D4"/>
    <w:rsid w:val="1F4E7AE0"/>
    <w:rsid w:val="1F7237CF"/>
    <w:rsid w:val="1FB913FE"/>
    <w:rsid w:val="20242D11"/>
    <w:rsid w:val="20344F28"/>
    <w:rsid w:val="216223B0"/>
    <w:rsid w:val="21F20BF7"/>
    <w:rsid w:val="229D5EC3"/>
    <w:rsid w:val="23113DF5"/>
    <w:rsid w:val="236E24FF"/>
    <w:rsid w:val="23866503"/>
    <w:rsid w:val="247D7317"/>
    <w:rsid w:val="257D4C7B"/>
    <w:rsid w:val="259E1AAE"/>
    <w:rsid w:val="288B0B23"/>
    <w:rsid w:val="29181208"/>
    <w:rsid w:val="29305377"/>
    <w:rsid w:val="29550EF0"/>
    <w:rsid w:val="299F6D6E"/>
    <w:rsid w:val="2AAD6003"/>
    <w:rsid w:val="2AD52E64"/>
    <w:rsid w:val="2AF27EBA"/>
    <w:rsid w:val="2AF53CDA"/>
    <w:rsid w:val="2BD15D21"/>
    <w:rsid w:val="2C8126FB"/>
    <w:rsid w:val="2C9758C2"/>
    <w:rsid w:val="2CA945A8"/>
    <w:rsid w:val="2CB0347B"/>
    <w:rsid w:val="2D485B6F"/>
    <w:rsid w:val="2DFF04CD"/>
    <w:rsid w:val="2E2C63D4"/>
    <w:rsid w:val="2EA414CB"/>
    <w:rsid w:val="2ECD6C74"/>
    <w:rsid w:val="2F407445"/>
    <w:rsid w:val="2F5333F6"/>
    <w:rsid w:val="2F590987"/>
    <w:rsid w:val="2F9A75FB"/>
    <w:rsid w:val="2FD23E16"/>
    <w:rsid w:val="2FD61B58"/>
    <w:rsid w:val="2FFB15BE"/>
    <w:rsid w:val="2FFFBEA0"/>
    <w:rsid w:val="303C2AA4"/>
    <w:rsid w:val="31C81974"/>
    <w:rsid w:val="32A12ED7"/>
    <w:rsid w:val="33552D94"/>
    <w:rsid w:val="34522480"/>
    <w:rsid w:val="34905452"/>
    <w:rsid w:val="354457B6"/>
    <w:rsid w:val="35EE4F95"/>
    <w:rsid w:val="361707D4"/>
    <w:rsid w:val="36B85B13"/>
    <w:rsid w:val="36BB1AA7"/>
    <w:rsid w:val="37620175"/>
    <w:rsid w:val="377043AF"/>
    <w:rsid w:val="377F559E"/>
    <w:rsid w:val="38044D88"/>
    <w:rsid w:val="38AB61C6"/>
    <w:rsid w:val="38B73C99"/>
    <w:rsid w:val="38F31085"/>
    <w:rsid w:val="392F4087"/>
    <w:rsid w:val="399B66AC"/>
    <w:rsid w:val="3A79664B"/>
    <w:rsid w:val="3A9F6EC9"/>
    <w:rsid w:val="3B4735A3"/>
    <w:rsid w:val="3CDE0EF3"/>
    <w:rsid w:val="3D780DC3"/>
    <w:rsid w:val="3E2E7003"/>
    <w:rsid w:val="3E810EE1"/>
    <w:rsid w:val="3E94330A"/>
    <w:rsid w:val="3ED80093"/>
    <w:rsid w:val="402C1A6D"/>
    <w:rsid w:val="40CF15A2"/>
    <w:rsid w:val="42864521"/>
    <w:rsid w:val="42B041B0"/>
    <w:rsid w:val="43346E69"/>
    <w:rsid w:val="43505326"/>
    <w:rsid w:val="43DE5E6B"/>
    <w:rsid w:val="43F20413"/>
    <w:rsid w:val="45FF375F"/>
    <w:rsid w:val="462449AB"/>
    <w:rsid w:val="4689353B"/>
    <w:rsid w:val="475C698F"/>
    <w:rsid w:val="487C4C77"/>
    <w:rsid w:val="48FA1FBB"/>
    <w:rsid w:val="49211C3E"/>
    <w:rsid w:val="4968592E"/>
    <w:rsid w:val="4A627D14"/>
    <w:rsid w:val="4AFA2747"/>
    <w:rsid w:val="4B6B71A0"/>
    <w:rsid w:val="4BD309BA"/>
    <w:rsid w:val="4C03387D"/>
    <w:rsid w:val="4C917FF1"/>
    <w:rsid w:val="4CEA6C6B"/>
    <w:rsid w:val="4E0235C3"/>
    <w:rsid w:val="4EB52ECE"/>
    <w:rsid w:val="4F2E29BF"/>
    <w:rsid w:val="4FA15887"/>
    <w:rsid w:val="4FB7117E"/>
    <w:rsid w:val="4FCC5671"/>
    <w:rsid w:val="4FF22365"/>
    <w:rsid w:val="506F328F"/>
    <w:rsid w:val="50B25E86"/>
    <w:rsid w:val="50BE3C1F"/>
    <w:rsid w:val="50C77645"/>
    <w:rsid w:val="50D24FBC"/>
    <w:rsid w:val="51596EAB"/>
    <w:rsid w:val="52903990"/>
    <w:rsid w:val="52917FF6"/>
    <w:rsid w:val="533E763B"/>
    <w:rsid w:val="54BE6593"/>
    <w:rsid w:val="55DB13C7"/>
    <w:rsid w:val="560721BC"/>
    <w:rsid w:val="56CD440D"/>
    <w:rsid w:val="578F0DCF"/>
    <w:rsid w:val="57C56AFD"/>
    <w:rsid w:val="57CC546B"/>
    <w:rsid w:val="585C0442"/>
    <w:rsid w:val="587F6039"/>
    <w:rsid w:val="58B54151"/>
    <w:rsid w:val="58BB6770"/>
    <w:rsid w:val="59317156"/>
    <w:rsid w:val="59405526"/>
    <w:rsid w:val="596B6F40"/>
    <w:rsid w:val="59BC5372"/>
    <w:rsid w:val="5A821318"/>
    <w:rsid w:val="5A8B494D"/>
    <w:rsid w:val="5AB62CEE"/>
    <w:rsid w:val="5ACC12DE"/>
    <w:rsid w:val="5B8F2A37"/>
    <w:rsid w:val="5C0A1B1B"/>
    <w:rsid w:val="5C4C08AB"/>
    <w:rsid w:val="5C7C0B28"/>
    <w:rsid w:val="5C84089E"/>
    <w:rsid w:val="5D754E0C"/>
    <w:rsid w:val="5DB5079B"/>
    <w:rsid w:val="5EAE58CA"/>
    <w:rsid w:val="5EFFD2F3"/>
    <w:rsid w:val="5F4256A3"/>
    <w:rsid w:val="5F546472"/>
    <w:rsid w:val="5FF26A2D"/>
    <w:rsid w:val="60161979"/>
    <w:rsid w:val="603B13E0"/>
    <w:rsid w:val="63163A3E"/>
    <w:rsid w:val="634C3904"/>
    <w:rsid w:val="63B75221"/>
    <w:rsid w:val="63D44349"/>
    <w:rsid w:val="63D97D21"/>
    <w:rsid w:val="640C0016"/>
    <w:rsid w:val="646A1F45"/>
    <w:rsid w:val="64853FD8"/>
    <w:rsid w:val="648D5F82"/>
    <w:rsid w:val="64C64FF0"/>
    <w:rsid w:val="665D4DEF"/>
    <w:rsid w:val="66FF5AE6"/>
    <w:rsid w:val="68324E76"/>
    <w:rsid w:val="6875045A"/>
    <w:rsid w:val="68F16ADF"/>
    <w:rsid w:val="690D143F"/>
    <w:rsid w:val="69B61AD7"/>
    <w:rsid w:val="6A0B3BD1"/>
    <w:rsid w:val="6A3F1ACC"/>
    <w:rsid w:val="6ADA3679"/>
    <w:rsid w:val="6B1E5B86"/>
    <w:rsid w:val="6B4E4A64"/>
    <w:rsid w:val="6C8F6BC2"/>
    <w:rsid w:val="6D415B5B"/>
    <w:rsid w:val="6E672537"/>
    <w:rsid w:val="6EED3624"/>
    <w:rsid w:val="6F5C63B9"/>
    <w:rsid w:val="7001562B"/>
    <w:rsid w:val="701C7567"/>
    <w:rsid w:val="70293003"/>
    <w:rsid w:val="70457711"/>
    <w:rsid w:val="70615F85"/>
    <w:rsid w:val="72EF5EF7"/>
    <w:rsid w:val="75AF2929"/>
    <w:rsid w:val="75E4177A"/>
    <w:rsid w:val="760964CC"/>
    <w:rsid w:val="762F11BB"/>
    <w:rsid w:val="76315451"/>
    <w:rsid w:val="76562678"/>
    <w:rsid w:val="76953147"/>
    <w:rsid w:val="76B15B00"/>
    <w:rsid w:val="77602CB0"/>
    <w:rsid w:val="77791920"/>
    <w:rsid w:val="780F131B"/>
    <w:rsid w:val="784B6EFD"/>
    <w:rsid w:val="787E1A12"/>
    <w:rsid w:val="78DC1D6B"/>
    <w:rsid w:val="78E20402"/>
    <w:rsid w:val="79063433"/>
    <w:rsid w:val="79CE4C1B"/>
    <w:rsid w:val="7A2D292E"/>
    <w:rsid w:val="7D2012E9"/>
    <w:rsid w:val="7D7709D8"/>
    <w:rsid w:val="7D893333"/>
    <w:rsid w:val="7D943A85"/>
    <w:rsid w:val="7DF12C86"/>
    <w:rsid w:val="7E066731"/>
    <w:rsid w:val="7E3A7D1F"/>
    <w:rsid w:val="7E655B4E"/>
    <w:rsid w:val="7E9755DB"/>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7"/>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7">
    <w:name w:val="toa heading"/>
    <w:basedOn w:val="1"/>
    <w:next w:val="1"/>
    <w:semiHidden/>
    <w:qFormat/>
    <w:uiPriority w:val="0"/>
    <w:pPr>
      <w:spacing w:before="120"/>
    </w:pPr>
    <w:rPr>
      <w:rFonts w:cs="Arial"/>
    </w:rPr>
  </w:style>
  <w:style w:type="paragraph" w:styleId="8">
    <w:name w:val="annotation text"/>
    <w:basedOn w:val="1"/>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9">
    <w:name w:val="Body Text"/>
    <w:basedOn w:val="1"/>
    <w:next w:val="10"/>
    <w:qFormat/>
    <w:uiPriority w:val="0"/>
    <w:pPr>
      <w:ind w:left="100"/>
    </w:pPr>
  </w:style>
  <w:style w:type="paragraph" w:styleId="10">
    <w:name w:val="toc 2"/>
    <w:basedOn w:val="1"/>
    <w:next w:val="1"/>
    <w:unhideWhenUsed/>
    <w:qFormat/>
    <w:uiPriority w:val="39"/>
    <w:pPr>
      <w:ind w:left="420" w:leftChars="200"/>
    </w:pPr>
  </w:style>
  <w:style w:type="paragraph" w:styleId="11">
    <w:name w:val="toc 3"/>
    <w:basedOn w:val="1"/>
    <w:next w:val="1"/>
    <w:unhideWhenUsed/>
    <w:qFormat/>
    <w:uiPriority w:val="39"/>
    <w:pPr>
      <w:ind w:left="840" w:leftChars="400"/>
    </w:pPr>
  </w:style>
  <w:style w:type="paragraph" w:styleId="12">
    <w:name w:val="Plain Text"/>
    <w:basedOn w:val="1"/>
    <w:link w:val="32"/>
    <w:qFormat/>
    <w:uiPriority w:val="0"/>
    <w:rPr>
      <w:rFonts w:ascii="宋体" w:hAnsi="Courier New"/>
      <w:szCs w:val="21"/>
    </w:rPr>
  </w:style>
  <w:style w:type="paragraph" w:styleId="13">
    <w:name w:val="Balloon Text"/>
    <w:basedOn w:val="1"/>
    <w:link w:val="34"/>
    <w:semiHidden/>
    <w:unhideWhenUsed/>
    <w:qFormat/>
    <w:uiPriority w:val="99"/>
    <w:rPr>
      <w:sz w:val="18"/>
      <w:szCs w:val="18"/>
    </w:rPr>
  </w:style>
  <w:style w:type="paragraph" w:styleId="14">
    <w:name w:val="footer"/>
    <w:basedOn w:val="1"/>
    <w:link w:val="26"/>
    <w:unhideWhenUsed/>
    <w:qFormat/>
    <w:uiPriority w:val="99"/>
    <w:pPr>
      <w:tabs>
        <w:tab w:val="center" w:pos="4153"/>
        <w:tab w:val="right" w:pos="8306"/>
      </w:tabs>
      <w:snapToGrid w:val="0"/>
      <w:jc w:val="left"/>
    </w:pPr>
    <w:rPr>
      <w:sz w:val="18"/>
      <w:szCs w:val="18"/>
    </w:rPr>
  </w:style>
  <w:style w:type="paragraph" w:styleId="15">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table" w:styleId="18">
    <w:name w:val="Table Grid"/>
    <w:basedOn w:val="1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page number"/>
    <w:basedOn w:val="19"/>
    <w:qFormat/>
    <w:uiPriority w:val="99"/>
    <w:rPr>
      <w:lang w:val="zh-TW" w:eastAsia="zh-TW"/>
    </w:rPr>
  </w:style>
  <w:style w:type="character" w:styleId="22">
    <w:name w:val="FollowedHyperlink"/>
    <w:basedOn w:val="19"/>
    <w:semiHidden/>
    <w:unhideWhenUsed/>
    <w:qFormat/>
    <w:uiPriority w:val="99"/>
    <w:rPr>
      <w:color w:val="333333"/>
      <w:u w:val="none"/>
    </w:rPr>
  </w:style>
  <w:style w:type="character" w:styleId="23">
    <w:name w:val="Emphasis"/>
    <w:basedOn w:val="19"/>
    <w:qFormat/>
    <w:uiPriority w:val="20"/>
  </w:style>
  <w:style w:type="character" w:styleId="24">
    <w:name w:val="Hyperlink"/>
    <w:basedOn w:val="19"/>
    <w:unhideWhenUsed/>
    <w:qFormat/>
    <w:uiPriority w:val="99"/>
    <w:rPr>
      <w:color w:val="0000FF" w:themeColor="hyperlink"/>
      <w:u w:val="single"/>
      <w14:textFill>
        <w14:solidFill>
          <w14:schemeClr w14:val="hlink"/>
        </w14:solidFill>
      </w14:textFill>
    </w:rPr>
  </w:style>
  <w:style w:type="character" w:customStyle="1" w:styleId="25">
    <w:name w:val="页眉 Char"/>
    <w:basedOn w:val="19"/>
    <w:link w:val="15"/>
    <w:qFormat/>
    <w:uiPriority w:val="99"/>
    <w:rPr>
      <w:sz w:val="18"/>
      <w:szCs w:val="18"/>
    </w:rPr>
  </w:style>
  <w:style w:type="character" w:customStyle="1" w:styleId="26">
    <w:name w:val="页脚 Char"/>
    <w:basedOn w:val="19"/>
    <w:link w:val="14"/>
    <w:qFormat/>
    <w:uiPriority w:val="99"/>
    <w:rPr>
      <w:sz w:val="18"/>
      <w:szCs w:val="18"/>
    </w:rPr>
  </w:style>
  <w:style w:type="character" w:customStyle="1" w:styleId="27">
    <w:name w:val="标题 1 Char"/>
    <w:basedOn w:val="19"/>
    <w:link w:val="3"/>
    <w:qFormat/>
    <w:uiPriority w:val="9"/>
    <w:rPr>
      <w:rFonts w:ascii="Times New Roman" w:hAnsi="Times New Roman" w:eastAsia="宋体" w:cs="Times New Roman"/>
      <w:b/>
      <w:bCs/>
      <w:kern w:val="44"/>
      <w:sz w:val="44"/>
      <w:szCs w:val="44"/>
    </w:rPr>
  </w:style>
  <w:style w:type="character" w:customStyle="1" w:styleId="28">
    <w:name w:val="标题 2 Char"/>
    <w:basedOn w:val="19"/>
    <w:link w:val="4"/>
    <w:qFormat/>
    <w:uiPriority w:val="9"/>
    <w:rPr>
      <w:rFonts w:asciiTheme="majorHAnsi" w:hAnsiTheme="majorHAnsi" w:eastAsiaTheme="majorEastAsia" w:cstheme="majorBidi"/>
      <w:b/>
      <w:bCs/>
      <w:sz w:val="32"/>
      <w:szCs w:val="32"/>
    </w:rPr>
  </w:style>
  <w:style w:type="paragraph" w:styleId="29">
    <w:name w:val="List Paragraph"/>
    <w:basedOn w:val="1"/>
    <w:link w:val="30"/>
    <w:qFormat/>
    <w:uiPriority w:val="34"/>
    <w:pPr>
      <w:ind w:firstLine="420" w:firstLineChars="200"/>
    </w:pPr>
  </w:style>
  <w:style w:type="character" w:customStyle="1" w:styleId="30">
    <w:name w:val="列出段落 Char"/>
    <w:link w:val="29"/>
    <w:qFormat/>
    <w:uiPriority w:val="34"/>
    <w:rPr>
      <w:rFonts w:ascii="Times New Roman" w:hAnsi="Times New Roman" w:eastAsia="宋体" w:cs="Times New Roman"/>
      <w:szCs w:val="24"/>
    </w:rPr>
  </w:style>
  <w:style w:type="character" w:customStyle="1" w:styleId="31">
    <w:name w:val="标题 3 Char"/>
    <w:basedOn w:val="19"/>
    <w:link w:val="5"/>
    <w:qFormat/>
    <w:uiPriority w:val="9"/>
    <w:rPr>
      <w:rFonts w:ascii="Times New Roman" w:hAnsi="Times New Roman" w:eastAsia="宋体" w:cs="Times New Roman"/>
      <w:b/>
      <w:bCs/>
      <w:sz w:val="32"/>
      <w:szCs w:val="32"/>
    </w:rPr>
  </w:style>
  <w:style w:type="character" w:customStyle="1" w:styleId="32">
    <w:name w:val="纯文本 Char"/>
    <w:basedOn w:val="19"/>
    <w:link w:val="12"/>
    <w:qFormat/>
    <w:uiPriority w:val="0"/>
    <w:rPr>
      <w:rFonts w:ascii="宋体" w:hAnsi="Courier New" w:eastAsia="宋体" w:cs="Times New Roman"/>
      <w:szCs w:val="21"/>
    </w:rPr>
  </w:style>
  <w:style w:type="paragraph" w:customStyle="1" w:styleId="33">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3"/>
    <w:semiHidden/>
    <w:qFormat/>
    <w:uiPriority w:val="99"/>
    <w:rPr>
      <w:rFonts w:ascii="Times New Roman" w:hAnsi="Times New Roman" w:eastAsia="宋体" w:cs="Times New Roman"/>
      <w:sz w:val="18"/>
      <w:szCs w:val="18"/>
    </w:rPr>
  </w:style>
  <w:style w:type="character" w:customStyle="1" w:styleId="35">
    <w:name w:val="font01"/>
    <w:basedOn w:val="19"/>
    <w:qFormat/>
    <w:uiPriority w:val="99"/>
    <w:rPr>
      <w:rFonts w:ascii="等线" w:hAnsi="等线" w:eastAsia="等线" w:cs="等线"/>
      <w:color w:val="000000"/>
      <w:sz w:val="22"/>
      <w:szCs w:val="22"/>
      <w:u w:val="none"/>
    </w:rPr>
  </w:style>
  <w:style w:type="paragraph" w:customStyle="1" w:styleId="36">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7">
    <w:name w:val="无"/>
    <w:qFormat/>
    <w:uiPriority w:val="0"/>
  </w:style>
  <w:style w:type="character" w:customStyle="1" w:styleId="38">
    <w:name w:val="font41"/>
    <w:basedOn w:val="19"/>
    <w:qFormat/>
    <w:uiPriority w:val="0"/>
    <w:rPr>
      <w:rFonts w:hint="default" w:ascii="Arial" w:hAnsi="Arial" w:cs="Arial"/>
      <w:color w:val="000000"/>
      <w:sz w:val="20"/>
      <w:szCs w:val="20"/>
      <w:u w:val="none"/>
    </w:rPr>
  </w:style>
  <w:style w:type="character" w:customStyle="1" w:styleId="39">
    <w:name w:val="font11"/>
    <w:basedOn w:val="19"/>
    <w:qFormat/>
    <w:uiPriority w:val="0"/>
    <w:rPr>
      <w:rFonts w:hint="eastAsia" w:ascii="宋体" w:hAnsi="宋体" w:eastAsia="宋体" w:cs="宋体"/>
      <w:color w:val="000000"/>
      <w:sz w:val="20"/>
      <w:szCs w:val="20"/>
      <w:u w:val="none"/>
    </w:rPr>
  </w:style>
  <w:style w:type="character" w:customStyle="1" w:styleId="40">
    <w:name w:val="font51"/>
    <w:basedOn w:val="19"/>
    <w:qFormat/>
    <w:uiPriority w:val="0"/>
    <w:rPr>
      <w:rFonts w:hint="eastAsia" w:ascii="宋体-简" w:hAnsi="宋体-简" w:eastAsia="宋体-简" w:cs="宋体-简"/>
      <w:color w:val="000000"/>
      <w:sz w:val="20"/>
      <w:szCs w:val="20"/>
      <w:u w:val="none"/>
    </w:rPr>
  </w:style>
  <w:style w:type="paragraph" w:customStyle="1" w:styleId="41">
    <w:name w:val="BodyTextIndent"/>
    <w:basedOn w:val="1"/>
    <w:qFormat/>
    <w:uiPriority w:val="0"/>
    <w:pPr>
      <w:widowControl/>
      <w:ind w:firstLine="630"/>
      <w:textAlignment w:val="baseline"/>
    </w:pPr>
    <w:rPr>
      <w:rFonts w:ascii="Calibri" w:hAnsi="Calibri" w:cs="宋体"/>
      <w:sz w:val="32"/>
      <w:szCs w:val="20"/>
    </w:rPr>
  </w:style>
  <w:style w:type="character" w:customStyle="1" w:styleId="42">
    <w:name w:val="NormalCharacter"/>
    <w:qFormat/>
    <w:uiPriority w:val="0"/>
  </w:style>
  <w:style w:type="character" w:customStyle="1" w:styleId="43">
    <w:name w:val="UserStyle_0"/>
    <w:qFormat/>
    <w:uiPriority w:val="0"/>
    <w:rPr>
      <w:kern w:val="2"/>
      <w:sz w:val="21"/>
      <w:lang w:val="en-US" w:eastAsia="zh-CN" w:bidi="ar-SA"/>
    </w:rPr>
  </w:style>
  <w:style w:type="paragraph" w:customStyle="1" w:styleId="44">
    <w:name w:val="列表段落1"/>
    <w:basedOn w:val="1"/>
    <w:qFormat/>
    <w:uiPriority w:val="34"/>
    <w:pPr>
      <w:ind w:firstLine="420" w:firstLineChars="200"/>
    </w:pPr>
  </w:style>
  <w:style w:type="paragraph" w:customStyle="1" w:styleId="45">
    <w:name w:val="Table Paragraph"/>
    <w:basedOn w:val="1"/>
    <w:qFormat/>
    <w:uiPriority w:val="1"/>
  </w:style>
  <w:style w:type="paragraph" w:customStyle="1" w:styleId="46">
    <w:name w:val="标题2"/>
    <w:basedOn w:val="3"/>
    <w:qFormat/>
    <w:uiPriority w:val="0"/>
    <w:pPr>
      <w:keepNext w:val="0"/>
      <w:keepLines w:val="0"/>
      <w:numPr>
        <w:ilvl w:val="1"/>
        <w:numId w:val="1"/>
      </w:numPr>
      <w:spacing w:before="0" w:after="240" w:line="360" w:lineRule="auto"/>
      <w:outlineLvl w:val="1"/>
    </w:pPr>
    <w:rPr>
      <w:rFonts w:ascii="微软雅黑" w:hAnsi="微软雅黑" w:eastAsia="微软雅黑"/>
      <w:b w:val="0"/>
      <w:bCs w:val="0"/>
      <w:kern w:val="2"/>
      <w:sz w:val="28"/>
      <w:szCs w:val="28"/>
    </w:rPr>
  </w:style>
  <w:style w:type="character" w:customStyle="1" w:styleId="47">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46</Pages>
  <Words>17689</Words>
  <Characters>19312</Characters>
  <Lines>142</Lines>
  <Paragraphs>40</Paragraphs>
  <TotalTime>341</TotalTime>
  <ScaleCrop>false</ScaleCrop>
  <LinksUpToDate>false</LinksUpToDate>
  <CharactersWithSpaces>22235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2022-10-26T02:00:00Z</cp:lastPrinted>
  <dcterms:modified xsi:type="dcterms:W3CDTF">2023-07-27T10:32:10Z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CD6C6A552EFD451090E614660B81452B_13</vt:lpwstr>
  </property>
</Properties>
</file>